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D5C39" w14:textId="19DA1044" w:rsidR="004B659D" w:rsidRDefault="004B659D" w:rsidP="002974CD">
      <w:pPr>
        <w:jc w:val="center"/>
        <w:rPr>
          <w:b/>
        </w:rPr>
      </w:pPr>
      <w:r w:rsidRPr="001B6CAC">
        <w:rPr>
          <w:b/>
        </w:rPr>
        <w:t xml:space="preserve">CHILD CARE AND DEVELOPMENT FUND </w:t>
      </w:r>
    </w:p>
    <w:p w14:paraId="6697D6B0" w14:textId="377520AF" w:rsidR="004B659D" w:rsidRDefault="004B659D" w:rsidP="004B659D">
      <w:pPr>
        <w:jc w:val="center"/>
        <w:rPr>
          <w:b/>
        </w:rPr>
      </w:pPr>
      <w:r>
        <w:rPr>
          <w:b/>
        </w:rPr>
        <w:t>FISCAL YEAR 20</w:t>
      </w:r>
      <w:r w:rsidR="006E27A1">
        <w:rPr>
          <w:b/>
        </w:rPr>
        <w:t>20</w:t>
      </w:r>
      <w:r>
        <w:rPr>
          <w:b/>
        </w:rPr>
        <w:t xml:space="preserve"> STATE </w:t>
      </w:r>
      <w:r w:rsidR="00E376A6">
        <w:rPr>
          <w:b/>
        </w:rPr>
        <w:t xml:space="preserve">AND TERRITORY </w:t>
      </w:r>
      <w:r>
        <w:rPr>
          <w:b/>
        </w:rPr>
        <w:t xml:space="preserve">SPENDING FROM ALL </w:t>
      </w:r>
    </w:p>
    <w:p w14:paraId="6A1411ED" w14:textId="59D7CEE6" w:rsidR="004B659D" w:rsidRPr="001B6CAC" w:rsidRDefault="00E5430B" w:rsidP="004B659D">
      <w:pPr>
        <w:jc w:val="center"/>
        <w:rPr>
          <w:b/>
        </w:rPr>
      </w:pPr>
      <w:r>
        <w:rPr>
          <w:b/>
        </w:rPr>
        <w:t xml:space="preserve">AWARD </w:t>
      </w:r>
      <w:r w:rsidR="004B659D">
        <w:rPr>
          <w:b/>
        </w:rPr>
        <w:t>YEARS</w:t>
      </w:r>
    </w:p>
    <w:p w14:paraId="1F0091D5" w14:textId="77777777" w:rsidR="004B659D" w:rsidRPr="00B44165" w:rsidRDefault="004B659D" w:rsidP="002974CD">
      <w:r>
        <w:rPr>
          <w:b/>
          <w:i/>
        </w:rPr>
        <w:t>Background:</w:t>
      </w:r>
    </w:p>
    <w:p w14:paraId="73E75EF5" w14:textId="77777777" w:rsidR="004B659D" w:rsidRDefault="004B659D" w:rsidP="004B659D"/>
    <w:p w14:paraId="4F29DC2E" w14:textId="05548B49" w:rsidR="00993B15" w:rsidRDefault="004B659D" w:rsidP="00993B15">
      <w:r>
        <w:t xml:space="preserve">The Child Care and Development Fund (CCDF) financial expenditure report (ACF-696) details </w:t>
      </w:r>
      <w:r w:rsidR="00E376A6">
        <w:t xml:space="preserve">state and territory </w:t>
      </w:r>
      <w:r>
        <w:t>expenditures from each of the CCDF funding streams (Mandatory, Matching</w:t>
      </w:r>
      <w:r w:rsidR="004B5A55">
        <w:t>,</w:t>
      </w:r>
      <w:r>
        <w:t xml:space="preserve"> and Discretionary), funds transferred from the Temporary Assistance for Needy Families (TANF) program to CCDF</w:t>
      </w:r>
      <w:r w:rsidR="006E27A1">
        <w:t xml:space="preserve">, Discretionary Disaster Relief funds, and Discretionary </w:t>
      </w:r>
      <w:r w:rsidR="006E27A1" w:rsidRPr="0074131C">
        <w:t>Coronavirus Aid, Relief, and Economics Security</w:t>
      </w:r>
      <w:r w:rsidR="006E27A1">
        <w:t xml:space="preserve"> (CARES) Act funds</w:t>
      </w:r>
      <w:r w:rsidR="00841D7A">
        <w:t>.</w:t>
      </w:r>
      <w:r w:rsidR="004B5A55">
        <w:t xml:space="preserve"> </w:t>
      </w:r>
      <w:r>
        <w:t>Reported expenditures are for administration, dire</w:t>
      </w:r>
      <w:r w:rsidR="0024315E">
        <w:t xml:space="preserve">ct and non-direct services, </w:t>
      </w:r>
      <w:r w:rsidR="00EB5349">
        <w:t xml:space="preserve">and congressionally mandated </w:t>
      </w:r>
      <w:r>
        <w:t>quality activities</w:t>
      </w:r>
      <w:r w:rsidR="00EB5349">
        <w:t xml:space="preserve"> and </w:t>
      </w:r>
      <w:r w:rsidR="0024315E">
        <w:t>activities to improve the quality of care for infants and toddlers</w:t>
      </w:r>
      <w:r w:rsidR="00841D7A">
        <w:t>.</w:t>
      </w:r>
      <w:r w:rsidR="00B02D8B">
        <w:t xml:space="preserve"> </w:t>
      </w:r>
      <w:r w:rsidR="0060213A">
        <w:t>Because s</w:t>
      </w:r>
      <w:r w:rsidR="00B02D8B">
        <w:t xml:space="preserve">tates and territories are permitted </w:t>
      </w:r>
      <w:r w:rsidR="0060213A">
        <w:t xml:space="preserve">multiple </w:t>
      </w:r>
      <w:r w:rsidR="00B02D8B">
        <w:t>years to liquidate funds under CCDF regulations</w:t>
      </w:r>
      <w:r w:rsidR="0060213A">
        <w:t xml:space="preserve">, Lead Agencies may have spent funds awarded in the current and prior years in fiscal year </w:t>
      </w:r>
      <w:r w:rsidR="00993B15">
        <w:t xml:space="preserve">(FY) </w:t>
      </w:r>
      <w:r w:rsidR="0060213A">
        <w:t>2020</w:t>
      </w:r>
      <w:r w:rsidR="008A3E61">
        <w:rPr>
          <w:rStyle w:val="FootnoteReference"/>
        </w:rPr>
        <w:footnoteReference w:id="1"/>
      </w:r>
      <w:r w:rsidR="00993B15">
        <w:t>.</w:t>
      </w:r>
    </w:p>
    <w:p w14:paraId="13F0C36E" w14:textId="77777777" w:rsidR="00993B15" w:rsidRDefault="00993B15" w:rsidP="00993B15"/>
    <w:p w14:paraId="168609F6" w14:textId="77777777" w:rsidR="00993B15" w:rsidRDefault="00993B15" w:rsidP="00993B15">
      <w:r>
        <w:rPr>
          <w:b/>
          <w:i/>
        </w:rPr>
        <w:t>Highlights:</w:t>
      </w:r>
    </w:p>
    <w:p w14:paraId="2F38E248" w14:textId="77777777" w:rsidR="00993B15" w:rsidRDefault="00993B15" w:rsidP="00993B15"/>
    <w:p w14:paraId="75B3233F" w14:textId="449C5B11" w:rsidR="004B25F5" w:rsidRDefault="00993B15" w:rsidP="00A25CD7">
      <w:r>
        <w:t>The summary provides information on the expenditure of CCDF funds during FY 2020</w:t>
      </w:r>
      <w:r w:rsidR="008C37CB">
        <w:t xml:space="preserve">, which includes </w:t>
      </w:r>
      <w:r w:rsidR="008A3E61">
        <w:t xml:space="preserve">CCDF </w:t>
      </w:r>
      <w:r w:rsidR="008C37CB">
        <w:t xml:space="preserve">funding </w:t>
      </w:r>
      <w:r w:rsidR="00E5430B">
        <w:t>awarded</w:t>
      </w:r>
      <w:r w:rsidR="008A3E61">
        <w:t xml:space="preserve"> in three </w:t>
      </w:r>
      <w:r w:rsidR="00E376A6">
        <w:t>g</w:t>
      </w:r>
      <w:r w:rsidR="008A3E61">
        <w:t>rant years (GY)</w:t>
      </w:r>
      <w:r w:rsidR="0060213A">
        <w:t>:</w:t>
      </w:r>
      <w:r w:rsidR="008A3E61">
        <w:t xml:space="preserve"> G</w:t>
      </w:r>
      <w:r w:rsidR="008C37CB">
        <w:t>Y 201</w:t>
      </w:r>
      <w:r w:rsidR="006E27A1">
        <w:t>8</w:t>
      </w:r>
      <w:r w:rsidR="008C37CB">
        <w:t xml:space="preserve">, </w:t>
      </w:r>
      <w:r w:rsidR="008A3E61">
        <w:t>GY</w:t>
      </w:r>
      <w:r w:rsidR="008C37CB">
        <w:t xml:space="preserve"> 201</w:t>
      </w:r>
      <w:r w:rsidR="006E27A1">
        <w:t>9</w:t>
      </w:r>
      <w:r w:rsidR="00C9554E">
        <w:t xml:space="preserve">, and </w:t>
      </w:r>
      <w:r w:rsidR="008A3E61">
        <w:t>G</w:t>
      </w:r>
      <w:r w:rsidR="00C9554E">
        <w:t>Y 20</w:t>
      </w:r>
      <w:r w:rsidR="006E27A1">
        <w:t>20</w:t>
      </w:r>
      <w:r w:rsidR="008C37CB">
        <w:t>.</w:t>
      </w:r>
      <w:r w:rsidR="00B55843">
        <w:t xml:space="preserve"> </w:t>
      </w:r>
      <w:r w:rsidR="00E376A6">
        <w:t>States and territories report t</w:t>
      </w:r>
      <w:r w:rsidR="008C37CB">
        <w:t>he CCDF expenditur</w:t>
      </w:r>
      <w:r w:rsidR="00474DE9">
        <w:t>e data on the ACF</w:t>
      </w:r>
      <w:r w:rsidR="004B5A55">
        <w:t>-</w:t>
      </w:r>
      <w:r w:rsidR="008C37CB">
        <w:t>696</w:t>
      </w:r>
      <w:r w:rsidR="00335C01">
        <w:t xml:space="preserve">. </w:t>
      </w:r>
      <w:r w:rsidR="00E376A6">
        <w:t>In FY 20</w:t>
      </w:r>
      <w:r w:rsidR="006E27A1">
        <w:t>20</w:t>
      </w:r>
      <w:r w:rsidR="00E376A6">
        <w:t>, s</w:t>
      </w:r>
      <w:r w:rsidR="004B659D">
        <w:t xml:space="preserve">tates </w:t>
      </w:r>
      <w:r w:rsidR="00E5430B">
        <w:t xml:space="preserve">and territories </w:t>
      </w:r>
      <w:r w:rsidR="004B659D">
        <w:t xml:space="preserve">expended a </w:t>
      </w:r>
      <w:r w:rsidR="004B659D" w:rsidRPr="006A5FF0">
        <w:t>tota</w:t>
      </w:r>
      <w:r w:rsidR="00B80509" w:rsidRPr="006A5FF0">
        <w:t xml:space="preserve">l </w:t>
      </w:r>
      <w:r w:rsidR="00D14FC7" w:rsidRPr="00DC6AD3">
        <w:t>of $</w:t>
      </w:r>
      <w:r w:rsidR="006E27A1">
        <w:t>13.4</w:t>
      </w:r>
      <w:r w:rsidR="00D14FC7" w:rsidRPr="00DC6AD3">
        <w:t xml:space="preserve"> billion</w:t>
      </w:r>
      <w:r w:rsidR="004B659D" w:rsidRPr="0012739C">
        <w:t xml:space="preserve"> of combined </w:t>
      </w:r>
      <w:r w:rsidR="004B5A55" w:rsidRPr="0012739C">
        <w:t>f</w:t>
      </w:r>
      <w:r w:rsidR="004B659D" w:rsidRPr="0012739C">
        <w:t xml:space="preserve">ederal and </w:t>
      </w:r>
      <w:r w:rsidR="004B5A55" w:rsidRPr="0012739C">
        <w:t>s</w:t>
      </w:r>
      <w:r w:rsidR="004B659D" w:rsidRPr="0012739C">
        <w:t xml:space="preserve">tate funds, which </w:t>
      </w:r>
      <w:r w:rsidR="004B659D" w:rsidRPr="006A5FF0">
        <w:t>includes bot</w:t>
      </w:r>
      <w:r w:rsidR="004B659D" w:rsidRPr="00DC6AD3">
        <w:t>h CCDF and TANF transfers into CCDF</w:t>
      </w:r>
      <w:r w:rsidR="00335C01">
        <w:t xml:space="preserve">. </w:t>
      </w:r>
      <w:r w:rsidR="004B659D" w:rsidRPr="00DC6AD3">
        <w:t xml:space="preserve">Expenditures of </w:t>
      </w:r>
      <w:r w:rsidR="004B5A55" w:rsidRPr="00DC6AD3">
        <w:t>f</w:t>
      </w:r>
      <w:r w:rsidR="004B659D" w:rsidRPr="00DC6AD3">
        <w:t xml:space="preserve">ederal funds were </w:t>
      </w:r>
      <w:r w:rsidR="00D14FC7" w:rsidRPr="00DC6AD3">
        <w:t>$</w:t>
      </w:r>
      <w:r w:rsidR="006E27A1">
        <w:t>11.3</w:t>
      </w:r>
      <w:r w:rsidR="00433BE6">
        <w:t xml:space="preserve"> </w:t>
      </w:r>
      <w:r w:rsidR="00D14FC7" w:rsidRPr="00DC6AD3">
        <w:t>billion</w:t>
      </w:r>
      <w:r w:rsidR="004B659D" w:rsidRPr="00DC6AD3">
        <w:t>, com</w:t>
      </w:r>
      <w:r w:rsidR="00B80509" w:rsidRPr="00DC6AD3">
        <w:t xml:space="preserve">prised </w:t>
      </w:r>
      <w:r w:rsidR="00D14FC7" w:rsidRPr="00DC6AD3">
        <w:t>of $</w:t>
      </w:r>
      <w:r w:rsidR="006E27A1">
        <w:t>6.9</w:t>
      </w:r>
      <w:r w:rsidR="00D14FC7" w:rsidRPr="00DC6AD3">
        <w:t xml:space="preserve"> billion</w:t>
      </w:r>
      <w:r w:rsidR="004B659D" w:rsidRPr="00DC6AD3">
        <w:t xml:space="preserve"> from </w:t>
      </w:r>
      <w:r w:rsidR="008A3E61">
        <w:t>G</w:t>
      </w:r>
      <w:r w:rsidR="004B659D" w:rsidRPr="00DC6AD3">
        <w:t>Y 20</w:t>
      </w:r>
      <w:r w:rsidR="006E27A1">
        <w:t>20</w:t>
      </w:r>
      <w:r w:rsidR="004B25F5">
        <w:t>, $3</w:t>
      </w:r>
      <w:r w:rsidR="006E27A1">
        <w:t>.6</w:t>
      </w:r>
      <w:r w:rsidR="004B25F5">
        <w:t xml:space="preserve"> billion from GY 201</w:t>
      </w:r>
      <w:r w:rsidR="006743D8">
        <w:t>9</w:t>
      </w:r>
      <w:r w:rsidR="004B25F5">
        <w:t>,</w:t>
      </w:r>
      <w:r w:rsidR="004B659D" w:rsidRPr="00DC6AD3">
        <w:t xml:space="preserve"> </w:t>
      </w:r>
      <w:r w:rsidR="00D14FC7" w:rsidRPr="00DC6AD3">
        <w:t>and $</w:t>
      </w:r>
      <w:r w:rsidR="006743D8">
        <w:t>77</w:t>
      </w:r>
      <w:r w:rsidR="004B25F5">
        <w:t>0 million</w:t>
      </w:r>
      <w:r w:rsidR="004B659D" w:rsidRPr="00DC6AD3">
        <w:t xml:space="preserve"> from</w:t>
      </w:r>
      <w:r w:rsidR="007E2EF5" w:rsidRPr="00DC6AD3">
        <w:t xml:space="preserve"> </w:t>
      </w:r>
      <w:r w:rsidR="008A3E61">
        <w:t>G</w:t>
      </w:r>
      <w:r w:rsidR="00DF75CE" w:rsidRPr="00DC6AD3">
        <w:t>Y 201</w:t>
      </w:r>
      <w:r w:rsidR="006743D8">
        <w:t>8</w:t>
      </w:r>
      <w:r w:rsidR="004B25F5">
        <w:t>.</w:t>
      </w:r>
      <w:r w:rsidR="00335C01">
        <w:t xml:space="preserve"> </w:t>
      </w:r>
      <w:r w:rsidR="00D45C1A">
        <w:t xml:space="preserve">In GY 2020, states and territories reported spending $1.6 million of CARES Act funds. </w:t>
      </w:r>
      <w:r w:rsidR="004B659D">
        <w:t xml:space="preserve">Expenditures of </w:t>
      </w:r>
      <w:r w:rsidR="00E5430B">
        <w:t>s</w:t>
      </w:r>
      <w:r w:rsidR="004B659D">
        <w:t>tate Matching and Maintenanc</w:t>
      </w:r>
      <w:r w:rsidR="003936F3">
        <w:t>e</w:t>
      </w:r>
      <w:r w:rsidR="00B80509">
        <w:t xml:space="preserve"> of Effort (MOE) funds </w:t>
      </w:r>
      <w:r w:rsidR="00B80509" w:rsidRPr="006A5FF0">
        <w:t xml:space="preserve">were </w:t>
      </w:r>
      <w:r w:rsidR="00D14FC7" w:rsidRPr="00DC6AD3">
        <w:t>$2.</w:t>
      </w:r>
      <w:r w:rsidR="004B25F5">
        <w:t>1</w:t>
      </w:r>
      <w:r w:rsidR="004B25F5" w:rsidRPr="00DC6AD3">
        <w:t xml:space="preserve"> </w:t>
      </w:r>
      <w:r w:rsidR="00D14FC7" w:rsidRPr="00DC6AD3">
        <w:t>billion</w:t>
      </w:r>
      <w:r w:rsidR="00335C01">
        <w:t xml:space="preserve">. </w:t>
      </w:r>
      <w:r w:rsidR="006024D9" w:rsidRPr="00DC6AD3">
        <w:t xml:space="preserve">Some </w:t>
      </w:r>
      <w:r w:rsidR="004B5A55" w:rsidRPr="00DC6AD3">
        <w:t>s</w:t>
      </w:r>
      <w:r w:rsidR="006024D9" w:rsidRPr="00DC6AD3">
        <w:t xml:space="preserve">tates report </w:t>
      </w:r>
      <w:r w:rsidR="004B5A55" w:rsidRPr="00DC6AD3">
        <w:t>s</w:t>
      </w:r>
      <w:r w:rsidR="006024D9" w:rsidRPr="00DC6AD3">
        <w:t>tate expenditures</w:t>
      </w:r>
      <w:r w:rsidR="003936F3" w:rsidRPr="00DC6AD3">
        <w:t xml:space="preserve"> </w:t>
      </w:r>
      <w:proofErr w:type="gramStart"/>
      <w:r w:rsidR="003936F3" w:rsidRPr="00DC6AD3">
        <w:t>in excess of</w:t>
      </w:r>
      <w:proofErr w:type="gramEnd"/>
      <w:r w:rsidR="003936F3" w:rsidRPr="00DC6AD3">
        <w:t xml:space="preserve"> the </w:t>
      </w:r>
      <w:r w:rsidR="004B5A55" w:rsidRPr="00DC6AD3">
        <w:t>s</w:t>
      </w:r>
      <w:r w:rsidR="003936F3" w:rsidRPr="00DC6AD3">
        <w:t>tate share amounts required</w:t>
      </w:r>
      <w:r w:rsidR="003936F3">
        <w:t xml:space="preserve"> to draw down the</w:t>
      </w:r>
      <w:r w:rsidR="00474DE9">
        <w:t>ir</w:t>
      </w:r>
      <w:r w:rsidR="003936F3">
        <w:t xml:space="preserve"> full allotment of </w:t>
      </w:r>
      <w:r w:rsidR="00A54350">
        <w:t>f</w:t>
      </w:r>
      <w:r w:rsidR="00B80509">
        <w:t>ederal Matching funds</w:t>
      </w:r>
      <w:r w:rsidR="006D3D7F">
        <w:t>; however</w:t>
      </w:r>
      <w:r w:rsidR="001E1D6D">
        <w:t>,</w:t>
      </w:r>
      <w:r w:rsidR="006024D9">
        <w:t xml:space="preserve"> they are not required</w:t>
      </w:r>
      <w:r w:rsidR="00B53C72">
        <w:t xml:space="preserve"> to do so. </w:t>
      </w:r>
      <w:r w:rsidR="00B90ACA">
        <w:t>In FY 20</w:t>
      </w:r>
      <w:r w:rsidR="006E27A1">
        <w:t>20</w:t>
      </w:r>
      <w:r w:rsidR="00B90ACA">
        <w:t xml:space="preserve">, </w:t>
      </w:r>
      <w:r w:rsidR="00E376A6">
        <w:t xml:space="preserve">states reported </w:t>
      </w:r>
      <w:r w:rsidR="00B90ACA" w:rsidRPr="006A5FF0">
        <w:t xml:space="preserve">about </w:t>
      </w:r>
      <w:r w:rsidR="00B90ACA" w:rsidRPr="00DC6AD3">
        <w:t>$</w:t>
      </w:r>
      <w:r w:rsidR="006743D8">
        <w:t>125</w:t>
      </w:r>
      <w:r w:rsidR="00B90ACA" w:rsidRPr="00DC6AD3">
        <w:t xml:space="preserve"> million</w:t>
      </w:r>
      <w:r w:rsidR="00B90ACA" w:rsidRPr="00663611">
        <w:t xml:space="preserve"> in</w:t>
      </w:r>
      <w:r w:rsidR="00B90ACA">
        <w:t xml:space="preserve"> “excess” </w:t>
      </w:r>
      <w:r w:rsidR="00E5430B">
        <w:t>s</w:t>
      </w:r>
      <w:r w:rsidR="00B90ACA">
        <w:t>tate Match.</w:t>
      </w:r>
      <w:r w:rsidR="00D45C1A">
        <w:t xml:space="preserve"> </w:t>
      </w:r>
    </w:p>
    <w:p w14:paraId="781E9F62" w14:textId="77777777" w:rsidR="0021599A" w:rsidRDefault="0021599A" w:rsidP="004B659D"/>
    <w:tbl>
      <w:tblPr>
        <w:tblW w:w="9266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976"/>
        <w:gridCol w:w="1822"/>
        <w:gridCol w:w="1823"/>
        <w:gridCol w:w="1822"/>
        <w:gridCol w:w="1823"/>
      </w:tblGrid>
      <w:tr w:rsidR="00E73A66" w:rsidRPr="00DC6AD3" w14:paraId="1E42E7C2" w14:textId="77777777" w:rsidTr="00EB5349">
        <w:trPr>
          <w:trHeight w:val="319"/>
        </w:trPr>
        <w:tc>
          <w:tcPr>
            <w:tcW w:w="9266" w:type="dxa"/>
            <w:gridSpan w:val="5"/>
            <w:tcBorders>
              <w:top w:val="nil"/>
              <w:left w:val="nil"/>
              <w:right w:val="nil"/>
            </w:tcBorders>
            <w:shd w:val="clear" w:color="000000" w:fill="C0C0C0"/>
            <w:vAlign w:val="bottom"/>
            <w:hideMark/>
          </w:tcPr>
          <w:p w14:paraId="49D57DAB" w14:textId="263C26BB" w:rsidR="00E73A66" w:rsidRPr="00DC6AD3" w:rsidRDefault="005871D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6A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Ta</w:t>
            </w:r>
            <w:r w:rsidR="00AB06D3" w:rsidRPr="00DC6A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ble 1 - Expenditures in FY 20</w:t>
            </w:r>
            <w:r w:rsidR="006E27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  <w:r w:rsidRPr="00DC6A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by </w:t>
            </w:r>
            <w:r w:rsidR="00E543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Award</w:t>
            </w:r>
            <w:r w:rsidR="00E5430B" w:rsidRPr="00DC6A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C6A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Year</w:t>
            </w:r>
            <w:r w:rsidR="002974CD" w:rsidRPr="00DC6AD3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</w:tr>
      <w:tr w:rsidR="00E73A66" w:rsidRPr="00DC6AD3" w14:paraId="2FC11C28" w14:textId="77777777" w:rsidTr="00EB5349">
        <w:trPr>
          <w:trHeight w:val="30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1C0C4" w14:textId="77777777" w:rsidR="00E73A66" w:rsidRPr="00DC6AD3" w:rsidRDefault="00E73A66" w:rsidP="00E73A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CD707" w14:textId="6CA699FD" w:rsidR="00E73A66" w:rsidRPr="00DC6AD3" w:rsidRDefault="008A3E61" w:rsidP="00B27F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</w:t>
            </w:r>
            <w:r w:rsidR="005871D5" w:rsidRPr="00DC6A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 20</w:t>
            </w:r>
            <w:r w:rsidR="00C23B0F" w:rsidRPr="00DC6A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6E27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1E762" w14:textId="4E6E78BE" w:rsidR="00E73A66" w:rsidRPr="00DC6AD3" w:rsidRDefault="008A3E6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</w:t>
            </w:r>
            <w:r w:rsidR="005871D5" w:rsidRPr="00DC6A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 20</w:t>
            </w:r>
            <w:r w:rsidR="00C23B0F" w:rsidRPr="00DC6A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6E27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66B26" w14:textId="48B65AAE" w:rsidR="00E73A66" w:rsidRPr="00DC6AD3" w:rsidRDefault="008A3E6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</w:t>
            </w:r>
            <w:r w:rsidR="005871D5" w:rsidRPr="00DC6A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 20</w:t>
            </w:r>
            <w:r w:rsidR="006E27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74C2" w14:textId="77777777" w:rsidR="00E73A66" w:rsidRPr="00DC6AD3" w:rsidRDefault="005871D5" w:rsidP="00E73A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A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by Fund </w:t>
            </w:r>
          </w:p>
        </w:tc>
      </w:tr>
      <w:tr w:rsidR="006743D8" w:rsidRPr="00DC6AD3" w14:paraId="2FD30890" w14:textId="77777777" w:rsidTr="00EB5349">
        <w:trPr>
          <w:trHeight w:val="300"/>
        </w:trPr>
        <w:tc>
          <w:tcPr>
            <w:tcW w:w="1976" w:type="dxa"/>
            <w:tcBorders>
              <w:left w:val="nil"/>
            </w:tcBorders>
            <w:shd w:val="clear" w:color="auto" w:fill="auto"/>
            <w:vAlign w:val="bottom"/>
            <w:hideMark/>
          </w:tcPr>
          <w:p w14:paraId="1E61F0AB" w14:textId="77777777" w:rsidR="006743D8" w:rsidRPr="00DC6AD3" w:rsidRDefault="006743D8" w:rsidP="00674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AD3">
              <w:rPr>
                <w:rFonts w:ascii="Arial" w:hAnsi="Arial" w:cs="Arial"/>
                <w:color w:val="000000"/>
                <w:sz w:val="16"/>
                <w:szCs w:val="16"/>
              </w:rPr>
              <w:t>Mandatory</w:t>
            </w:r>
          </w:p>
        </w:tc>
        <w:tc>
          <w:tcPr>
            <w:tcW w:w="1822" w:type="dxa"/>
            <w:shd w:val="clear" w:color="000000" w:fill="FFFFFF"/>
            <w:vAlign w:val="bottom"/>
          </w:tcPr>
          <w:p w14:paraId="2E5A8433" w14:textId="16C191DE" w:rsidR="006743D8" w:rsidRPr="006743D8" w:rsidRDefault="006743D8" w:rsidP="006743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2CE7">
              <w:rPr>
                <w:rFonts w:ascii="Arial" w:hAnsi="Arial" w:cs="Arial"/>
                <w:sz w:val="16"/>
                <w:szCs w:val="16"/>
              </w:rPr>
              <w:t>$6,562,777</w:t>
            </w:r>
          </w:p>
        </w:tc>
        <w:tc>
          <w:tcPr>
            <w:tcW w:w="1823" w:type="dxa"/>
            <w:shd w:val="clear" w:color="000000" w:fill="FFFFFF"/>
            <w:vAlign w:val="bottom"/>
          </w:tcPr>
          <w:p w14:paraId="618E5538" w14:textId="1B059E29" w:rsidR="006743D8" w:rsidRPr="006743D8" w:rsidRDefault="006743D8" w:rsidP="006743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2CE7">
              <w:rPr>
                <w:rFonts w:ascii="Arial" w:hAnsi="Arial" w:cs="Arial"/>
                <w:sz w:val="16"/>
                <w:szCs w:val="16"/>
              </w:rPr>
              <w:t>$151,721,470</w:t>
            </w:r>
          </w:p>
        </w:tc>
        <w:tc>
          <w:tcPr>
            <w:tcW w:w="1822" w:type="dxa"/>
            <w:shd w:val="clear" w:color="000000" w:fill="FFFFFF"/>
            <w:vAlign w:val="bottom"/>
          </w:tcPr>
          <w:p w14:paraId="2C682421" w14:textId="41913A53" w:rsidR="006743D8" w:rsidRPr="006743D8" w:rsidRDefault="006743D8" w:rsidP="006743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2CE7">
              <w:rPr>
                <w:rFonts w:ascii="Arial" w:hAnsi="Arial" w:cs="Arial"/>
                <w:sz w:val="16"/>
                <w:szCs w:val="16"/>
              </w:rPr>
              <w:t>$983,619,585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14:paraId="323ED736" w14:textId="7B775B2A" w:rsidR="006743D8" w:rsidRPr="006743D8" w:rsidRDefault="006743D8" w:rsidP="006743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2CE7">
              <w:rPr>
                <w:rFonts w:ascii="Arial" w:hAnsi="Arial" w:cs="Arial"/>
                <w:sz w:val="16"/>
                <w:szCs w:val="16"/>
              </w:rPr>
              <w:t>$1,141,903,832</w:t>
            </w:r>
          </w:p>
        </w:tc>
      </w:tr>
      <w:tr w:rsidR="006743D8" w:rsidRPr="00DC6AD3" w14:paraId="062047CB" w14:textId="77777777" w:rsidTr="00EB5349">
        <w:trPr>
          <w:trHeight w:val="300"/>
        </w:trPr>
        <w:tc>
          <w:tcPr>
            <w:tcW w:w="1976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14:paraId="4DFC3CE6" w14:textId="77777777" w:rsidR="006743D8" w:rsidRPr="00DC6AD3" w:rsidRDefault="006743D8" w:rsidP="00674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AD3">
              <w:rPr>
                <w:rFonts w:ascii="Arial" w:hAnsi="Arial" w:cs="Arial"/>
                <w:color w:val="000000"/>
                <w:sz w:val="16"/>
                <w:szCs w:val="16"/>
              </w:rPr>
              <w:t>Matching Federal</w:t>
            </w:r>
          </w:p>
        </w:tc>
        <w:tc>
          <w:tcPr>
            <w:tcW w:w="1822" w:type="dxa"/>
            <w:tcBorders>
              <w:top w:val="nil"/>
            </w:tcBorders>
            <w:shd w:val="clear" w:color="000000" w:fill="FFFFFF"/>
            <w:vAlign w:val="bottom"/>
          </w:tcPr>
          <w:p w14:paraId="60B9336C" w14:textId="2CF1525F" w:rsidR="006743D8" w:rsidRPr="006743D8" w:rsidRDefault="006743D8" w:rsidP="006743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2CE7">
              <w:rPr>
                <w:rFonts w:ascii="Arial" w:hAnsi="Arial" w:cs="Arial"/>
                <w:sz w:val="16"/>
                <w:szCs w:val="16"/>
              </w:rPr>
              <w:t>-$703,467</w:t>
            </w:r>
          </w:p>
        </w:tc>
        <w:tc>
          <w:tcPr>
            <w:tcW w:w="1823" w:type="dxa"/>
            <w:tcBorders>
              <w:top w:val="nil"/>
            </w:tcBorders>
            <w:shd w:val="clear" w:color="000000" w:fill="FFFFFF"/>
            <w:vAlign w:val="bottom"/>
          </w:tcPr>
          <w:p w14:paraId="3BF69758" w14:textId="40F1C095" w:rsidR="006743D8" w:rsidRPr="006743D8" w:rsidRDefault="006743D8" w:rsidP="006743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2CE7">
              <w:rPr>
                <w:rFonts w:ascii="Arial" w:hAnsi="Arial" w:cs="Arial"/>
                <w:sz w:val="16"/>
                <w:szCs w:val="16"/>
              </w:rPr>
              <w:t>$363,454,993</w:t>
            </w:r>
          </w:p>
        </w:tc>
        <w:tc>
          <w:tcPr>
            <w:tcW w:w="1822" w:type="dxa"/>
            <w:tcBorders>
              <w:top w:val="nil"/>
            </w:tcBorders>
            <w:shd w:val="clear" w:color="000000" w:fill="FFFFFF"/>
            <w:vAlign w:val="bottom"/>
          </w:tcPr>
          <w:p w14:paraId="7E18CE07" w14:textId="1575E534" w:rsidR="006743D8" w:rsidRPr="006743D8" w:rsidRDefault="006743D8" w:rsidP="006743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2CE7">
              <w:rPr>
                <w:rFonts w:ascii="Arial" w:hAnsi="Arial" w:cs="Arial"/>
                <w:sz w:val="16"/>
                <w:szCs w:val="16"/>
              </w:rPr>
              <w:t>$1,321,639,950</w:t>
            </w:r>
          </w:p>
        </w:tc>
        <w:tc>
          <w:tcPr>
            <w:tcW w:w="182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8A4D230" w14:textId="66E6C3E5" w:rsidR="006743D8" w:rsidRPr="006743D8" w:rsidRDefault="006743D8" w:rsidP="006743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2CE7">
              <w:rPr>
                <w:rFonts w:ascii="Arial" w:hAnsi="Arial" w:cs="Arial"/>
                <w:sz w:val="16"/>
                <w:szCs w:val="16"/>
              </w:rPr>
              <w:t>$1,684,391,476</w:t>
            </w:r>
          </w:p>
        </w:tc>
      </w:tr>
      <w:tr w:rsidR="006743D8" w:rsidRPr="00DC6AD3" w14:paraId="61910774" w14:textId="77777777" w:rsidTr="00EB5349">
        <w:trPr>
          <w:trHeight w:val="300"/>
        </w:trPr>
        <w:tc>
          <w:tcPr>
            <w:tcW w:w="1976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14:paraId="1F6EEDBF" w14:textId="77777777" w:rsidR="006743D8" w:rsidRPr="00DC6AD3" w:rsidRDefault="006743D8" w:rsidP="00674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AD3">
              <w:rPr>
                <w:rFonts w:ascii="Arial" w:hAnsi="Arial" w:cs="Arial"/>
                <w:color w:val="000000"/>
                <w:sz w:val="16"/>
                <w:szCs w:val="16"/>
              </w:rPr>
              <w:t>Discretionary</w:t>
            </w:r>
          </w:p>
        </w:tc>
        <w:tc>
          <w:tcPr>
            <w:tcW w:w="1822" w:type="dxa"/>
            <w:tcBorders>
              <w:top w:val="nil"/>
            </w:tcBorders>
            <w:shd w:val="clear" w:color="000000" w:fill="FFFFFF"/>
            <w:vAlign w:val="bottom"/>
          </w:tcPr>
          <w:p w14:paraId="7DA3784C" w14:textId="3DF61763" w:rsidR="006743D8" w:rsidRPr="006743D8" w:rsidRDefault="006743D8" w:rsidP="006743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2CE7">
              <w:rPr>
                <w:rFonts w:ascii="Arial" w:hAnsi="Arial" w:cs="Arial"/>
                <w:sz w:val="16"/>
                <w:szCs w:val="16"/>
              </w:rPr>
              <w:t>$764,472,628</w:t>
            </w:r>
          </w:p>
        </w:tc>
        <w:tc>
          <w:tcPr>
            <w:tcW w:w="1823" w:type="dxa"/>
            <w:tcBorders>
              <w:top w:val="nil"/>
            </w:tcBorders>
            <w:shd w:val="clear" w:color="000000" w:fill="FFFFFF"/>
            <w:vAlign w:val="bottom"/>
          </w:tcPr>
          <w:p w14:paraId="034AF97E" w14:textId="24EBF9B9" w:rsidR="006743D8" w:rsidRPr="006743D8" w:rsidRDefault="006743D8" w:rsidP="006743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2CE7">
              <w:rPr>
                <w:rFonts w:ascii="Arial" w:hAnsi="Arial" w:cs="Arial"/>
                <w:sz w:val="16"/>
                <w:szCs w:val="16"/>
              </w:rPr>
              <w:t>$3,076,393,614</w:t>
            </w:r>
          </w:p>
        </w:tc>
        <w:tc>
          <w:tcPr>
            <w:tcW w:w="1822" w:type="dxa"/>
            <w:tcBorders>
              <w:top w:val="nil"/>
            </w:tcBorders>
            <w:shd w:val="clear" w:color="000000" w:fill="FFFFFF"/>
            <w:vAlign w:val="bottom"/>
          </w:tcPr>
          <w:p w14:paraId="6E52103E" w14:textId="0BD7EFFF" w:rsidR="006743D8" w:rsidRPr="006743D8" w:rsidRDefault="006743D8" w:rsidP="006743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2CE7">
              <w:rPr>
                <w:rFonts w:ascii="Arial" w:hAnsi="Arial" w:cs="Arial"/>
                <w:sz w:val="16"/>
                <w:szCs w:val="16"/>
              </w:rPr>
              <w:t>$2,974,737,035</w:t>
            </w:r>
          </w:p>
        </w:tc>
        <w:tc>
          <w:tcPr>
            <w:tcW w:w="182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D460094" w14:textId="761ECF8B" w:rsidR="006743D8" w:rsidRPr="006743D8" w:rsidRDefault="006743D8" w:rsidP="006743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2CE7">
              <w:rPr>
                <w:rFonts w:ascii="Arial" w:hAnsi="Arial" w:cs="Arial"/>
                <w:sz w:val="16"/>
                <w:szCs w:val="16"/>
              </w:rPr>
              <w:t>$6,815,603,276</w:t>
            </w:r>
          </w:p>
        </w:tc>
      </w:tr>
      <w:tr w:rsidR="006743D8" w:rsidRPr="00DC6AD3" w14:paraId="397FDD03" w14:textId="77777777" w:rsidTr="00EB5349">
        <w:trPr>
          <w:trHeight w:val="300"/>
        </w:trPr>
        <w:tc>
          <w:tcPr>
            <w:tcW w:w="197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5A44D9E4" w14:textId="319CD86D" w:rsidR="006743D8" w:rsidRPr="00782CE7" w:rsidRDefault="006743D8" w:rsidP="00782CE7">
            <w:pPr>
              <w:ind w:hanging="24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CE7">
              <w:rPr>
                <w:rFonts w:ascii="Arial" w:hAnsi="Arial" w:cs="Arial"/>
                <w:color w:val="000000"/>
                <w:sz w:val="16"/>
                <w:szCs w:val="16"/>
              </w:rPr>
              <w:t>Discretionary CARES</w:t>
            </w:r>
          </w:p>
        </w:tc>
        <w:tc>
          <w:tcPr>
            <w:tcW w:w="1822" w:type="dxa"/>
            <w:tcBorders>
              <w:top w:val="nil"/>
            </w:tcBorders>
            <w:shd w:val="clear" w:color="000000" w:fill="FFFFFF"/>
            <w:vAlign w:val="bottom"/>
          </w:tcPr>
          <w:p w14:paraId="1E67E38F" w14:textId="11DE4331" w:rsidR="006743D8" w:rsidRPr="00CE0612" w:rsidRDefault="006743D8" w:rsidP="006743D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82CE7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823" w:type="dxa"/>
            <w:tcBorders>
              <w:top w:val="nil"/>
            </w:tcBorders>
            <w:shd w:val="clear" w:color="000000" w:fill="FFFFFF"/>
            <w:vAlign w:val="bottom"/>
          </w:tcPr>
          <w:p w14:paraId="1291B5BA" w14:textId="16C46D5E" w:rsidR="006743D8" w:rsidRPr="00CE0612" w:rsidRDefault="006743D8" w:rsidP="006743D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82CE7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822" w:type="dxa"/>
            <w:tcBorders>
              <w:top w:val="nil"/>
            </w:tcBorders>
            <w:shd w:val="clear" w:color="000000" w:fill="FFFFFF"/>
            <w:vAlign w:val="bottom"/>
          </w:tcPr>
          <w:p w14:paraId="7AF54CB3" w14:textId="08A47C54" w:rsidR="006743D8" w:rsidRPr="00CE0612" w:rsidRDefault="006743D8" w:rsidP="006743D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82CE7">
              <w:rPr>
                <w:rFonts w:ascii="Arial" w:hAnsi="Arial" w:cs="Arial"/>
                <w:sz w:val="16"/>
                <w:szCs w:val="16"/>
              </w:rPr>
              <w:t>$1,608,632,992</w:t>
            </w:r>
          </w:p>
        </w:tc>
        <w:tc>
          <w:tcPr>
            <w:tcW w:w="182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F8C6EB5" w14:textId="29425971" w:rsidR="006743D8" w:rsidRPr="00CE0612" w:rsidRDefault="006743D8" w:rsidP="006743D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82CE7">
              <w:rPr>
                <w:rFonts w:ascii="Arial" w:hAnsi="Arial" w:cs="Arial"/>
                <w:sz w:val="16"/>
                <w:szCs w:val="16"/>
              </w:rPr>
              <w:t>$1,608,632,992</w:t>
            </w:r>
          </w:p>
        </w:tc>
      </w:tr>
      <w:tr w:rsidR="006743D8" w:rsidRPr="00DC6AD3" w14:paraId="77BCBA67" w14:textId="77777777" w:rsidTr="00EB5349">
        <w:trPr>
          <w:trHeight w:val="300"/>
        </w:trPr>
        <w:tc>
          <w:tcPr>
            <w:tcW w:w="197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A3AD180" w14:textId="2FCB00D9" w:rsidR="006743D8" w:rsidRPr="00782CE7" w:rsidRDefault="006743D8" w:rsidP="00782C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CE7">
              <w:rPr>
                <w:rFonts w:ascii="Arial" w:hAnsi="Arial" w:cs="Arial"/>
                <w:color w:val="000000"/>
                <w:sz w:val="16"/>
                <w:szCs w:val="16"/>
              </w:rPr>
              <w:t>Discretionary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82CE7">
              <w:rPr>
                <w:rFonts w:ascii="Arial" w:hAnsi="Arial" w:cs="Arial"/>
                <w:color w:val="000000"/>
                <w:sz w:val="16"/>
                <w:szCs w:val="16"/>
              </w:rPr>
              <w:t>Disaster Relief</w:t>
            </w:r>
          </w:p>
        </w:tc>
        <w:tc>
          <w:tcPr>
            <w:tcW w:w="1822" w:type="dxa"/>
            <w:tcBorders>
              <w:top w:val="nil"/>
            </w:tcBorders>
            <w:shd w:val="clear" w:color="000000" w:fill="FFFFFF"/>
            <w:vAlign w:val="bottom"/>
          </w:tcPr>
          <w:p w14:paraId="5D83D259" w14:textId="716DFCFE" w:rsidR="006743D8" w:rsidRPr="00CE0612" w:rsidRDefault="006743D8" w:rsidP="006743D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82CE7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823" w:type="dxa"/>
            <w:tcBorders>
              <w:top w:val="nil"/>
            </w:tcBorders>
            <w:shd w:val="clear" w:color="000000" w:fill="FFFFFF"/>
            <w:vAlign w:val="bottom"/>
          </w:tcPr>
          <w:p w14:paraId="252978AD" w14:textId="238F9E47" w:rsidR="006743D8" w:rsidRPr="00CE0612" w:rsidRDefault="006743D8" w:rsidP="006743D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82CE7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822" w:type="dxa"/>
            <w:tcBorders>
              <w:top w:val="nil"/>
            </w:tcBorders>
            <w:shd w:val="clear" w:color="000000" w:fill="FFFFFF"/>
            <w:vAlign w:val="bottom"/>
          </w:tcPr>
          <w:p w14:paraId="43073E3E" w14:textId="57B7C2F6" w:rsidR="006743D8" w:rsidRPr="00CE0612" w:rsidRDefault="006743D8" w:rsidP="006743D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82CE7">
              <w:rPr>
                <w:rFonts w:ascii="Arial" w:hAnsi="Arial" w:cs="Arial"/>
                <w:sz w:val="16"/>
                <w:szCs w:val="16"/>
              </w:rPr>
              <w:t>$5,275</w:t>
            </w:r>
          </w:p>
        </w:tc>
        <w:tc>
          <w:tcPr>
            <w:tcW w:w="182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7EBAF9C" w14:textId="3FBF47E9" w:rsidR="006743D8" w:rsidRPr="00CE0612" w:rsidRDefault="006743D8" w:rsidP="006743D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82CE7">
              <w:rPr>
                <w:rFonts w:ascii="Arial" w:hAnsi="Arial" w:cs="Arial"/>
                <w:sz w:val="16"/>
                <w:szCs w:val="16"/>
              </w:rPr>
              <w:t>$5,275</w:t>
            </w:r>
          </w:p>
        </w:tc>
      </w:tr>
      <w:tr w:rsidR="006743D8" w:rsidRPr="00DC6AD3" w14:paraId="0A883614" w14:textId="77777777" w:rsidTr="00EB5349">
        <w:trPr>
          <w:trHeight w:val="300"/>
        </w:trPr>
        <w:tc>
          <w:tcPr>
            <w:tcW w:w="1976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14:paraId="13D7D73E" w14:textId="731A64D9" w:rsidR="006743D8" w:rsidRPr="00DC6AD3" w:rsidRDefault="006743D8" w:rsidP="006743D8">
            <w:pPr>
              <w:ind w:firstLine="16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C6AD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Subtotal Federal</w:t>
            </w:r>
          </w:p>
        </w:tc>
        <w:tc>
          <w:tcPr>
            <w:tcW w:w="1822" w:type="dxa"/>
            <w:tcBorders>
              <w:top w:val="nil"/>
            </w:tcBorders>
            <w:shd w:val="clear" w:color="000000" w:fill="FFFFFF"/>
            <w:vAlign w:val="bottom"/>
          </w:tcPr>
          <w:p w14:paraId="5A6920CA" w14:textId="170CF365" w:rsidR="006743D8" w:rsidRPr="006743D8" w:rsidRDefault="006743D8" w:rsidP="006743D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82CE7">
              <w:rPr>
                <w:rFonts w:ascii="Arial" w:hAnsi="Arial" w:cs="Arial"/>
                <w:i/>
                <w:iCs/>
                <w:sz w:val="16"/>
                <w:szCs w:val="16"/>
              </w:rPr>
              <w:t>$770,331,938</w:t>
            </w:r>
          </w:p>
        </w:tc>
        <w:tc>
          <w:tcPr>
            <w:tcW w:w="1823" w:type="dxa"/>
            <w:tcBorders>
              <w:top w:val="nil"/>
            </w:tcBorders>
            <w:shd w:val="clear" w:color="000000" w:fill="FFFFFF"/>
            <w:vAlign w:val="bottom"/>
          </w:tcPr>
          <w:p w14:paraId="0E1BD93A" w14:textId="66E232BF" w:rsidR="006743D8" w:rsidRPr="006743D8" w:rsidRDefault="006743D8" w:rsidP="006743D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82CE7">
              <w:rPr>
                <w:rFonts w:ascii="Arial" w:hAnsi="Arial" w:cs="Arial"/>
                <w:i/>
                <w:iCs/>
                <w:sz w:val="16"/>
                <w:szCs w:val="16"/>
              </w:rPr>
              <w:t>$3,591,570,077</w:t>
            </w:r>
          </w:p>
        </w:tc>
        <w:tc>
          <w:tcPr>
            <w:tcW w:w="1822" w:type="dxa"/>
            <w:tcBorders>
              <w:top w:val="nil"/>
            </w:tcBorders>
            <w:shd w:val="clear" w:color="000000" w:fill="FFFFFF"/>
            <w:vAlign w:val="bottom"/>
          </w:tcPr>
          <w:p w14:paraId="5D693280" w14:textId="0EC1A70D" w:rsidR="006743D8" w:rsidRPr="006743D8" w:rsidRDefault="006743D8" w:rsidP="006743D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82CE7">
              <w:rPr>
                <w:rFonts w:ascii="Arial" w:hAnsi="Arial" w:cs="Arial"/>
                <w:i/>
                <w:iCs/>
                <w:sz w:val="16"/>
                <w:szCs w:val="16"/>
              </w:rPr>
              <w:t>$6,888,634,837</w:t>
            </w:r>
          </w:p>
        </w:tc>
        <w:tc>
          <w:tcPr>
            <w:tcW w:w="182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7C34DB1" w14:textId="36325326" w:rsidR="006743D8" w:rsidRPr="006743D8" w:rsidRDefault="006743D8" w:rsidP="006743D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82CE7">
              <w:rPr>
                <w:rFonts w:ascii="Arial" w:hAnsi="Arial" w:cs="Arial"/>
                <w:i/>
                <w:iCs/>
                <w:sz w:val="16"/>
                <w:szCs w:val="16"/>
              </w:rPr>
              <w:t>$11,250,536,852</w:t>
            </w:r>
          </w:p>
        </w:tc>
      </w:tr>
      <w:tr w:rsidR="006743D8" w:rsidRPr="00DC6AD3" w14:paraId="7955B479" w14:textId="77777777" w:rsidTr="00EB5349">
        <w:trPr>
          <w:trHeight w:val="300"/>
        </w:trPr>
        <w:tc>
          <w:tcPr>
            <w:tcW w:w="1976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14:paraId="268F4847" w14:textId="77777777" w:rsidR="006743D8" w:rsidRPr="00DC6AD3" w:rsidRDefault="006743D8" w:rsidP="00674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AD3">
              <w:rPr>
                <w:rFonts w:ascii="Arial" w:hAnsi="Arial" w:cs="Arial"/>
                <w:color w:val="000000"/>
                <w:sz w:val="16"/>
                <w:szCs w:val="16"/>
              </w:rPr>
              <w:t>Matching State</w:t>
            </w:r>
          </w:p>
        </w:tc>
        <w:tc>
          <w:tcPr>
            <w:tcW w:w="1822" w:type="dxa"/>
            <w:tcBorders>
              <w:top w:val="nil"/>
            </w:tcBorders>
            <w:shd w:val="clear" w:color="000000" w:fill="FFFFFF"/>
            <w:vAlign w:val="bottom"/>
          </w:tcPr>
          <w:p w14:paraId="61D4894F" w14:textId="43AC9FD6" w:rsidR="006743D8" w:rsidRPr="006743D8" w:rsidRDefault="006743D8" w:rsidP="006743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2CE7">
              <w:rPr>
                <w:rFonts w:ascii="Arial" w:hAnsi="Arial" w:cs="Arial"/>
                <w:sz w:val="16"/>
                <w:szCs w:val="16"/>
              </w:rPr>
              <w:t>-$7,235,833</w:t>
            </w:r>
          </w:p>
        </w:tc>
        <w:tc>
          <w:tcPr>
            <w:tcW w:w="1823" w:type="dxa"/>
            <w:tcBorders>
              <w:top w:val="nil"/>
            </w:tcBorders>
            <w:shd w:val="clear" w:color="000000" w:fill="FFFFFF"/>
            <w:vAlign w:val="bottom"/>
          </w:tcPr>
          <w:p w14:paraId="31A47A69" w14:textId="507CB613" w:rsidR="006743D8" w:rsidRPr="006743D8" w:rsidRDefault="006743D8" w:rsidP="006743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2CE7">
              <w:rPr>
                <w:rFonts w:ascii="Arial" w:hAnsi="Arial" w:cs="Arial"/>
                <w:sz w:val="16"/>
                <w:szCs w:val="16"/>
              </w:rPr>
              <w:t>$173,887,096</w:t>
            </w:r>
          </w:p>
        </w:tc>
        <w:tc>
          <w:tcPr>
            <w:tcW w:w="1822" w:type="dxa"/>
            <w:tcBorders>
              <w:top w:val="nil"/>
            </w:tcBorders>
            <w:shd w:val="clear" w:color="000000" w:fill="FFFFFF"/>
            <w:vAlign w:val="bottom"/>
          </w:tcPr>
          <w:p w14:paraId="0DF8D867" w14:textId="5B61CEDE" w:rsidR="006743D8" w:rsidRPr="006743D8" w:rsidRDefault="006743D8" w:rsidP="006743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2CE7">
              <w:rPr>
                <w:rFonts w:ascii="Arial" w:hAnsi="Arial" w:cs="Arial"/>
                <w:sz w:val="16"/>
                <w:szCs w:val="16"/>
              </w:rPr>
              <w:t>$1,064,444,691</w:t>
            </w:r>
          </w:p>
        </w:tc>
        <w:tc>
          <w:tcPr>
            <w:tcW w:w="182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E929B1F" w14:textId="5249FDED" w:rsidR="006743D8" w:rsidRPr="006743D8" w:rsidRDefault="006743D8" w:rsidP="006743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2CE7">
              <w:rPr>
                <w:rFonts w:ascii="Arial" w:hAnsi="Arial" w:cs="Arial"/>
                <w:sz w:val="16"/>
                <w:szCs w:val="16"/>
              </w:rPr>
              <w:t>$1,231,095,955</w:t>
            </w:r>
          </w:p>
        </w:tc>
      </w:tr>
      <w:tr w:rsidR="006743D8" w:rsidRPr="00DC6AD3" w14:paraId="1A7573D5" w14:textId="77777777" w:rsidTr="00EB5349">
        <w:trPr>
          <w:trHeight w:val="300"/>
        </w:trPr>
        <w:tc>
          <w:tcPr>
            <w:tcW w:w="1976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14:paraId="67F97958" w14:textId="77777777" w:rsidR="006743D8" w:rsidRPr="00DC6AD3" w:rsidRDefault="006743D8" w:rsidP="00674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AD3">
              <w:rPr>
                <w:rFonts w:ascii="Arial" w:hAnsi="Arial" w:cs="Arial"/>
                <w:color w:val="000000"/>
                <w:sz w:val="16"/>
                <w:szCs w:val="16"/>
              </w:rPr>
              <w:t>CCDF MOE</w:t>
            </w:r>
          </w:p>
        </w:tc>
        <w:tc>
          <w:tcPr>
            <w:tcW w:w="1822" w:type="dxa"/>
            <w:tcBorders>
              <w:top w:val="nil"/>
            </w:tcBorders>
            <w:shd w:val="clear" w:color="000000" w:fill="FFFFFF"/>
            <w:vAlign w:val="bottom"/>
          </w:tcPr>
          <w:p w14:paraId="68B11AAE" w14:textId="7B9F60C9" w:rsidR="006743D8" w:rsidRPr="006743D8" w:rsidRDefault="006743D8" w:rsidP="006743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2CE7">
              <w:rPr>
                <w:rFonts w:ascii="Arial" w:hAnsi="Arial" w:cs="Arial"/>
                <w:sz w:val="16"/>
                <w:szCs w:val="16"/>
              </w:rPr>
              <w:t>-$3</w:t>
            </w:r>
          </w:p>
        </w:tc>
        <w:tc>
          <w:tcPr>
            <w:tcW w:w="1823" w:type="dxa"/>
            <w:tcBorders>
              <w:top w:val="nil"/>
            </w:tcBorders>
            <w:shd w:val="clear" w:color="000000" w:fill="FFFFFF"/>
            <w:vAlign w:val="bottom"/>
          </w:tcPr>
          <w:p w14:paraId="6D596CC2" w14:textId="2C50EA3E" w:rsidR="006743D8" w:rsidRPr="006743D8" w:rsidRDefault="006743D8" w:rsidP="006743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2CE7">
              <w:rPr>
                <w:rFonts w:ascii="Arial" w:hAnsi="Arial" w:cs="Arial"/>
                <w:sz w:val="16"/>
                <w:szCs w:val="16"/>
              </w:rPr>
              <w:t>$21,282,297</w:t>
            </w:r>
          </w:p>
        </w:tc>
        <w:tc>
          <w:tcPr>
            <w:tcW w:w="1822" w:type="dxa"/>
            <w:tcBorders>
              <w:top w:val="nil"/>
            </w:tcBorders>
            <w:shd w:val="clear" w:color="000000" w:fill="FFFFFF"/>
            <w:vAlign w:val="bottom"/>
          </w:tcPr>
          <w:p w14:paraId="1AAE4FBB" w14:textId="373723AA" w:rsidR="006743D8" w:rsidRPr="006743D8" w:rsidRDefault="006743D8" w:rsidP="006743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2CE7">
              <w:rPr>
                <w:rFonts w:ascii="Arial" w:hAnsi="Arial" w:cs="Arial"/>
                <w:sz w:val="16"/>
                <w:szCs w:val="16"/>
              </w:rPr>
              <w:t>$887,607,280</w:t>
            </w:r>
          </w:p>
        </w:tc>
        <w:tc>
          <w:tcPr>
            <w:tcW w:w="182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C357926" w14:textId="5960141D" w:rsidR="006743D8" w:rsidRPr="006743D8" w:rsidRDefault="006743D8" w:rsidP="006743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2CE7">
              <w:rPr>
                <w:rFonts w:ascii="Arial" w:hAnsi="Arial" w:cs="Arial"/>
                <w:sz w:val="16"/>
                <w:szCs w:val="16"/>
              </w:rPr>
              <w:t>$908,889,574</w:t>
            </w:r>
          </w:p>
        </w:tc>
      </w:tr>
      <w:tr w:rsidR="006743D8" w:rsidRPr="00DC6AD3" w14:paraId="54AF4E05" w14:textId="77777777" w:rsidTr="00EB5349">
        <w:trPr>
          <w:trHeight w:val="300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6E981BB" w14:textId="7D59FDD8" w:rsidR="006743D8" w:rsidRPr="00DC6AD3" w:rsidRDefault="006743D8" w:rsidP="006743D8">
            <w:pPr>
              <w:ind w:firstLine="16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C6AD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Subtotal State</w:t>
            </w:r>
          </w:p>
        </w:tc>
        <w:tc>
          <w:tcPr>
            <w:tcW w:w="1822" w:type="dxa"/>
            <w:tcBorders>
              <w:top w:val="nil"/>
              <w:bottom w:val="single" w:sz="4" w:space="0" w:color="auto"/>
            </w:tcBorders>
            <w:shd w:val="clear" w:color="000000" w:fill="FFFFFF"/>
            <w:vAlign w:val="bottom"/>
          </w:tcPr>
          <w:p w14:paraId="6722A41F" w14:textId="55F070D4" w:rsidR="006743D8" w:rsidRPr="006743D8" w:rsidRDefault="006743D8" w:rsidP="006743D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82CE7">
              <w:rPr>
                <w:rFonts w:ascii="Arial" w:hAnsi="Arial" w:cs="Arial"/>
                <w:i/>
                <w:iCs/>
                <w:sz w:val="16"/>
                <w:szCs w:val="16"/>
              </w:rPr>
              <w:t>-$7,235,836</w:t>
            </w:r>
          </w:p>
        </w:tc>
        <w:tc>
          <w:tcPr>
            <w:tcW w:w="1823" w:type="dxa"/>
            <w:tcBorders>
              <w:top w:val="nil"/>
              <w:bottom w:val="single" w:sz="4" w:space="0" w:color="auto"/>
            </w:tcBorders>
            <w:shd w:val="clear" w:color="000000" w:fill="FFFFFF"/>
            <w:vAlign w:val="bottom"/>
          </w:tcPr>
          <w:p w14:paraId="36FF1427" w14:textId="04255C1F" w:rsidR="006743D8" w:rsidRPr="006743D8" w:rsidRDefault="006743D8" w:rsidP="006743D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82CE7">
              <w:rPr>
                <w:rFonts w:ascii="Arial" w:hAnsi="Arial" w:cs="Arial"/>
                <w:i/>
                <w:iCs/>
                <w:sz w:val="16"/>
                <w:szCs w:val="16"/>
              </w:rPr>
              <w:t>$195,169,393</w:t>
            </w:r>
          </w:p>
        </w:tc>
        <w:tc>
          <w:tcPr>
            <w:tcW w:w="1822" w:type="dxa"/>
            <w:tcBorders>
              <w:top w:val="nil"/>
              <w:bottom w:val="single" w:sz="4" w:space="0" w:color="auto"/>
            </w:tcBorders>
            <w:shd w:val="clear" w:color="000000" w:fill="FFFFFF"/>
            <w:vAlign w:val="bottom"/>
          </w:tcPr>
          <w:p w14:paraId="72B4DC4E" w14:textId="284BC257" w:rsidR="006743D8" w:rsidRPr="006743D8" w:rsidRDefault="006743D8" w:rsidP="006743D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82CE7">
              <w:rPr>
                <w:rFonts w:ascii="Arial" w:hAnsi="Arial" w:cs="Arial"/>
                <w:i/>
                <w:iCs/>
                <w:sz w:val="16"/>
                <w:szCs w:val="16"/>
              </w:rPr>
              <w:t>$1,952,051,972</w:t>
            </w:r>
          </w:p>
        </w:tc>
        <w:tc>
          <w:tcPr>
            <w:tcW w:w="182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7488C2" w14:textId="7D6B5C78" w:rsidR="006743D8" w:rsidRPr="006743D8" w:rsidRDefault="006743D8" w:rsidP="006743D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82CE7">
              <w:rPr>
                <w:rFonts w:ascii="Arial" w:hAnsi="Arial" w:cs="Arial"/>
                <w:i/>
                <w:iCs/>
                <w:sz w:val="16"/>
                <w:szCs w:val="16"/>
              </w:rPr>
              <w:t>$2,139,985,529</w:t>
            </w:r>
          </w:p>
        </w:tc>
      </w:tr>
      <w:tr w:rsidR="006743D8" w:rsidRPr="00DC6AD3" w14:paraId="5CBA0754" w14:textId="77777777" w:rsidTr="00EB5349">
        <w:trPr>
          <w:trHeight w:val="300"/>
        </w:trPr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103F6" w14:textId="77777777" w:rsidR="006743D8" w:rsidRPr="00DC6AD3" w:rsidRDefault="006743D8" w:rsidP="006743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6A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11CEA9" w14:textId="1AC751C5" w:rsidR="006743D8" w:rsidRPr="006743D8" w:rsidRDefault="006743D8" w:rsidP="006743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C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$763,096,102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1D827" w14:textId="6B98B4E0" w:rsidR="006743D8" w:rsidRPr="006743D8" w:rsidRDefault="006743D8" w:rsidP="006743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C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$3,786,739,470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3E10D4" w14:textId="5C5FEC0F" w:rsidR="006743D8" w:rsidRPr="006743D8" w:rsidRDefault="006743D8" w:rsidP="006743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C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$8,840,686,808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88BDB" w14:textId="66EFF0DC" w:rsidR="006743D8" w:rsidRPr="006743D8" w:rsidRDefault="006743D8" w:rsidP="006743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2CE7">
              <w:rPr>
                <w:rFonts w:ascii="Arial" w:hAnsi="Arial" w:cs="Arial"/>
                <w:b/>
                <w:bCs/>
                <w:sz w:val="16"/>
                <w:szCs w:val="16"/>
              </w:rPr>
              <w:t>$13,390,522,381</w:t>
            </w:r>
          </w:p>
        </w:tc>
      </w:tr>
    </w:tbl>
    <w:p w14:paraId="1ADD81E6" w14:textId="77777777" w:rsidR="00F84229" w:rsidRPr="00EB5349" w:rsidRDefault="00F84229" w:rsidP="00EB5349">
      <w:pPr>
        <w:ind w:firstLine="180"/>
        <w:rPr>
          <w:rFonts w:ascii="Arial" w:hAnsi="Arial" w:cs="Arial"/>
          <w:color w:val="000000"/>
          <w:sz w:val="16"/>
          <w:szCs w:val="16"/>
        </w:rPr>
      </w:pPr>
    </w:p>
    <w:p w14:paraId="1CAD9022" w14:textId="392F80AA" w:rsidR="009422B4" w:rsidRPr="00EB5349" w:rsidRDefault="003F2B39" w:rsidP="00EB5349">
      <w:pPr>
        <w:ind w:left="360"/>
        <w:rPr>
          <w:rFonts w:ascii="Arial" w:hAnsi="Arial" w:cs="Arial"/>
          <w:color w:val="000000"/>
          <w:sz w:val="16"/>
          <w:szCs w:val="16"/>
        </w:rPr>
      </w:pPr>
      <w:r w:rsidRPr="00EB5349">
        <w:rPr>
          <w:rFonts w:ascii="Arial" w:hAnsi="Arial" w:cs="Arial"/>
          <w:color w:val="000000"/>
          <w:sz w:val="16"/>
          <w:szCs w:val="16"/>
        </w:rPr>
        <w:lastRenderedPageBreak/>
        <w:t xml:space="preserve">1 </w:t>
      </w:r>
      <w:r w:rsidR="00DF6C81" w:rsidRPr="00EB5349">
        <w:rPr>
          <w:rFonts w:ascii="Arial" w:hAnsi="Arial" w:cs="Arial"/>
          <w:color w:val="000000"/>
          <w:sz w:val="16"/>
          <w:szCs w:val="16"/>
        </w:rPr>
        <w:t>E</w:t>
      </w:r>
      <w:r w:rsidR="00D3568A" w:rsidRPr="00EB5349">
        <w:rPr>
          <w:rFonts w:ascii="Arial" w:hAnsi="Arial" w:cs="Arial"/>
          <w:color w:val="000000"/>
          <w:sz w:val="16"/>
          <w:szCs w:val="16"/>
        </w:rPr>
        <w:t xml:space="preserve">xpenditures may be negative because of changes in reported excess </w:t>
      </w:r>
      <w:r w:rsidR="00E5430B">
        <w:rPr>
          <w:rFonts w:ascii="Arial" w:hAnsi="Arial" w:cs="Arial"/>
          <w:color w:val="000000"/>
          <w:sz w:val="16"/>
          <w:szCs w:val="16"/>
        </w:rPr>
        <w:t>s</w:t>
      </w:r>
      <w:r w:rsidR="00D3568A" w:rsidRPr="00EB5349">
        <w:rPr>
          <w:rFonts w:ascii="Arial" w:hAnsi="Arial" w:cs="Arial"/>
          <w:color w:val="000000"/>
          <w:sz w:val="16"/>
          <w:szCs w:val="16"/>
        </w:rPr>
        <w:t>tate Match and MOE in prior fiscal years.</w:t>
      </w:r>
    </w:p>
    <w:p w14:paraId="497F20B3" w14:textId="77777777" w:rsidR="006D3D7F" w:rsidRDefault="006D3D7F" w:rsidP="00681C14">
      <w:pPr>
        <w:rPr>
          <w:i/>
        </w:rPr>
      </w:pPr>
    </w:p>
    <w:p w14:paraId="2D163D48" w14:textId="33FCD5EC" w:rsidR="008E43E5" w:rsidRDefault="00681C14" w:rsidP="00681C14">
      <w:r>
        <w:rPr>
          <w:i/>
        </w:rPr>
        <w:t>Direct Services</w:t>
      </w:r>
      <w:r w:rsidR="00841D7A">
        <w:t xml:space="preserve">. </w:t>
      </w:r>
      <w:r>
        <w:t>CCDF expenditures on dire</w:t>
      </w:r>
      <w:r w:rsidR="006701FB">
        <w:t>c</w:t>
      </w:r>
      <w:r w:rsidR="00B80509">
        <w:t xml:space="preserve">t child care services </w:t>
      </w:r>
      <w:r w:rsidR="00B80509" w:rsidRPr="006A5FF0">
        <w:t xml:space="preserve">were </w:t>
      </w:r>
      <w:r w:rsidR="00444A9D" w:rsidRPr="00DC6AD3">
        <w:t>$</w:t>
      </w:r>
      <w:r w:rsidR="006743D8">
        <w:t>9.9</w:t>
      </w:r>
      <w:r w:rsidR="00762281" w:rsidRPr="00DC6AD3">
        <w:t xml:space="preserve"> billion or 7</w:t>
      </w:r>
      <w:r w:rsidR="006743D8">
        <w:t>4</w:t>
      </w:r>
      <w:r w:rsidR="00D14FC7" w:rsidRPr="00DC6AD3">
        <w:t xml:space="preserve"> percent</w:t>
      </w:r>
      <w:r w:rsidRPr="00DC6AD3">
        <w:t xml:space="preserve"> of total </w:t>
      </w:r>
      <w:r w:rsidR="004B5A55" w:rsidRPr="00DC6AD3">
        <w:t>f</w:t>
      </w:r>
      <w:r w:rsidRPr="00DC6AD3">
        <w:t xml:space="preserve">ederal and </w:t>
      </w:r>
      <w:r w:rsidR="004B5A55" w:rsidRPr="00DC6AD3">
        <w:t>s</w:t>
      </w:r>
      <w:r w:rsidRPr="00DC6AD3">
        <w:t>tate expendi</w:t>
      </w:r>
      <w:r w:rsidR="00B80509" w:rsidRPr="00DC6AD3">
        <w:t>tures (including MOE) in FY 20</w:t>
      </w:r>
      <w:r w:rsidR="006E27A1">
        <w:t>20</w:t>
      </w:r>
      <w:r w:rsidR="00335C01">
        <w:t xml:space="preserve">. </w:t>
      </w:r>
    </w:p>
    <w:p w14:paraId="4939CD38" w14:textId="0D003AC0" w:rsidR="006D3D7F" w:rsidRDefault="006D3D7F" w:rsidP="00681C14">
      <w:pPr>
        <w:rPr>
          <w:i/>
        </w:rPr>
      </w:pPr>
    </w:p>
    <w:p w14:paraId="4982C3EC" w14:textId="3D5E73F7" w:rsidR="00681C14" w:rsidRDefault="00681C14" w:rsidP="00681C14">
      <w:r w:rsidRPr="009C7743">
        <w:rPr>
          <w:i/>
        </w:rPr>
        <w:t>Quality Activities</w:t>
      </w:r>
      <w:r w:rsidR="00841D7A">
        <w:rPr>
          <w:i/>
        </w:rPr>
        <w:t>.</w:t>
      </w:r>
      <w:r w:rsidR="00D334D8">
        <w:rPr>
          <w:rStyle w:val="FootnoteReference"/>
          <w:i/>
        </w:rPr>
        <w:footnoteReference w:id="2"/>
      </w:r>
      <w:r w:rsidR="00841D7A">
        <w:rPr>
          <w:i/>
        </w:rPr>
        <w:t xml:space="preserve"> </w:t>
      </w:r>
      <w:r w:rsidR="0075077B" w:rsidRPr="006A5FF0">
        <w:t>States</w:t>
      </w:r>
      <w:r w:rsidR="00E376A6">
        <w:t xml:space="preserve"> and territories</w:t>
      </w:r>
      <w:r w:rsidR="0075077B" w:rsidRPr="006A5FF0">
        <w:t xml:space="preserve"> </w:t>
      </w:r>
      <w:r w:rsidR="0075077B" w:rsidRPr="00DC6AD3">
        <w:t xml:space="preserve">spent </w:t>
      </w:r>
      <w:r w:rsidR="00D715F1">
        <w:t>$1</w:t>
      </w:r>
      <w:r w:rsidR="006F6CE1">
        <w:t>.</w:t>
      </w:r>
      <w:r w:rsidR="006743D8">
        <w:t>7</w:t>
      </w:r>
      <w:r w:rsidR="00D715F1">
        <w:t xml:space="preserve"> billion</w:t>
      </w:r>
      <w:r w:rsidR="00B51E3E" w:rsidRPr="006A5FF0">
        <w:t xml:space="preserve"> </w:t>
      </w:r>
      <w:r w:rsidR="0075077B" w:rsidRPr="00DC6AD3">
        <w:t xml:space="preserve">or </w:t>
      </w:r>
      <w:r w:rsidR="00D14FC7" w:rsidRPr="00DC6AD3">
        <w:t>1</w:t>
      </w:r>
      <w:r w:rsidR="00CE0612">
        <w:t>3</w:t>
      </w:r>
      <w:r w:rsidR="00762281" w:rsidRPr="00DC6AD3">
        <w:t xml:space="preserve"> percent</w:t>
      </w:r>
      <w:r w:rsidRPr="00DC6AD3">
        <w:t xml:space="preserve"> of total </w:t>
      </w:r>
      <w:r w:rsidR="004B5A55" w:rsidRPr="00DC6AD3">
        <w:t>f</w:t>
      </w:r>
      <w:r w:rsidRPr="00DC6AD3">
        <w:t>ederal a</w:t>
      </w:r>
      <w:r w:rsidR="00B80509" w:rsidRPr="00DC6AD3">
        <w:t xml:space="preserve">nd </w:t>
      </w:r>
      <w:r w:rsidR="004B5A55" w:rsidRPr="00DC6AD3">
        <w:t>s</w:t>
      </w:r>
      <w:r w:rsidR="00B80509" w:rsidRPr="00DC6AD3">
        <w:t>tate expenditures in FY 20</w:t>
      </w:r>
      <w:r w:rsidR="006E27A1">
        <w:t>20</w:t>
      </w:r>
      <w:r w:rsidRPr="00DC6AD3">
        <w:t xml:space="preserve"> on quality activities</w:t>
      </w:r>
      <w:r w:rsidR="006B6F36" w:rsidRPr="00DC6AD3">
        <w:t xml:space="preserve">. </w:t>
      </w:r>
      <w:r w:rsidR="00766169">
        <w:t xml:space="preserve">The reauthorized </w:t>
      </w:r>
      <w:r w:rsidR="009F5AF7">
        <w:t>Child Care and Development Block Grant (</w:t>
      </w:r>
      <w:r w:rsidR="00766169">
        <w:t>CCDBG</w:t>
      </w:r>
      <w:r w:rsidR="009F5AF7">
        <w:t>)</w:t>
      </w:r>
      <w:r w:rsidR="00766169">
        <w:t xml:space="preserve"> Act of 2014 increased the amount of CCDF expenditures that </w:t>
      </w:r>
      <w:proofErr w:type="gramStart"/>
      <w:r w:rsidR="00766169">
        <w:t>states</w:t>
      </w:r>
      <w:proofErr w:type="gramEnd"/>
      <w:r w:rsidR="00E376A6">
        <w:t xml:space="preserve"> and territories</w:t>
      </w:r>
      <w:r w:rsidR="00766169">
        <w:t xml:space="preserve"> must spend on quality activities. States and territories must spend </w:t>
      </w:r>
      <w:r w:rsidR="00196DE9">
        <w:t xml:space="preserve">8 percent </w:t>
      </w:r>
      <w:r w:rsidR="00CE0612">
        <w:t xml:space="preserve">each </w:t>
      </w:r>
      <w:r w:rsidR="00196DE9">
        <w:t xml:space="preserve">of their </w:t>
      </w:r>
      <w:r w:rsidR="008A3E61">
        <w:t>G</w:t>
      </w:r>
      <w:r w:rsidR="00196DE9">
        <w:t xml:space="preserve">Y 2018 </w:t>
      </w:r>
      <w:r w:rsidR="00F00DAD">
        <w:t xml:space="preserve">and GY 2019 </w:t>
      </w:r>
      <w:r w:rsidR="00E5430B">
        <w:t>awards</w:t>
      </w:r>
      <w:r w:rsidR="00CE0612">
        <w:t xml:space="preserve"> on quality activities and 9 percent of their GY2020 awards</w:t>
      </w:r>
      <w:r w:rsidR="00766169">
        <w:t>.</w:t>
      </w:r>
      <w:r w:rsidR="00DC2F45">
        <w:t xml:space="preserve"> </w:t>
      </w:r>
      <w:r w:rsidR="00E00D1E">
        <w:t xml:space="preserve">Compliance with these spending requirements is assessed at the end of the liquidation period for the award. </w:t>
      </w:r>
    </w:p>
    <w:p w14:paraId="38A301C3" w14:textId="1C51B679" w:rsidR="00903BD3" w:rsidRDefault="00903BD3" w:rsidP="00681C14"/>
    <w:p w14:paraId="60876530" w14:textId="613D8BAB" w:rsidR="00903BD3" w:rsidRPr="00903BD3" w:rsidRDefault="00903BD3" w:rsidP="00681C14">
      <w:r>
        <w:rPr>
          <w:i/>
        </w:rPr>
        <w:t xml:space="preserve">Infant/Toddler Quality Activities. </w:t>
      </w:r>
      <w:r w:rsidR="00735333">
        <w:t>States</w:t>
      </w:r>
      <w:r w:rsidR="00E376A6">
        <w:t xml:space="preserve"> and territories</w:t>
      </w:r>
      <w:r w:rsidR="00735333">
        <w:t xml:space="preserve"> spent $</w:t>
      </w:r>
      <w:r w:rsidR="00CE0612">
        <w:t xml:space="preserve">427 </w:t>
      </w:r>
      <w:r w:rsidR="00735333">
        <w:t xml:space="preserve">million </w:t>
      </w:r>
      <w:r w:rsidR="00150390">
        <w:t xml:space="preserve">or </w:t>
      </w:r>
      <w:r w:rsidR="00CE0612">
        <w:t>3</w:t>
      </w:r>
      <w:r w:rsidR="00150390">
        <w:t xml:space="preserve"> percent </w:t>
      </w:r>
      <w:r w:rsidR="00735333">
        <w:t>of total federal and state expenditures in FY 20</w:t>
      </w:r>
      <w:r w:rsidR="006E27A1">
        <w:t>20</w:t>
      </w:r>
      <w:r w:rsidR="00735333">
        <w:t xml:space="preserve"> on activities to improve the supply and quality of care for infants and toddlers. </w:t>
      </w:r>
      <w:r w:rsidR="00542932">
        <w:t xml:space="preserve">The </w:t>
      </w:r>
      <w:r w:rsidR="00150390">
        <w:t>CCDBG</w:t>
      </w:r>
      <w:r w:rsidR="00542932">
        <w:t xml:space="preserve"> Act of 2014 require</w:t>
      </w:r>
      <w:r w:rsidR="00B02D8B">
        <w:t>s</w:t>
      </w:r>
      <w:r w:rsidR="00542932">
        <w:t xml:space="preserve"> states and territories to spend a minimum of 3 percent of </w:t>
      </w:r>
      <w:r w:rsidR="00BF0F58">
        <w:t xml:space="preserve">all </w:t>
      </w:r>
      <w:r w:rsidR="00542932">
        <w:t>CCDF expenditures from individ</w:t>
      </w:r>
      <w:r w:rsidR="00150390">
        <w:t xml:space="preserve">ual </w:t>
      </w:r>
      <w:r w:rsidR="00E5430B">
        <w:t xml:space="preserve">award </w:t>
      </w:r>
      <w:r w:rsidR="00150390">
        <w:t xml:space="preserve">years </w:t>
      </w:r>
      <w:r w:rsidR="00542932">
        <w:t xml:space="preserve">on activities to improve the supply and quality of child care for infants and toddlers. These expenditures are in addition to the minimum expenditures that </w:t>
      </w:r>
      <w:proofErr w:type="gramStart"/>
      <w:r w:rsidR="00542932">
        <w:t>states</w:t>
      </w:r>
      <w:proofErr w:type="gramEnd"/>
      <w:r w:rsidR="00542932">
        <w:t xml:space="preserve"> and territories must </w:t>
      </w:r>
      <w:r w:rsidR="00B02D8B">
        <w:t>spend</w:t>
      </w:r>
      <w:r w:rsidR="00542932">
        <w:t xml:space="preserve"> on quality activities.</w:t>
      </w:r>
      <w:r w:rsidR="00F00DAD">
        <w:t xml:space="preserve"> Compliance with this requirement is assessed at the end of the liquidation period.</w:t>
      </w:r>
    </w:p>
    <w:p w14:paraId="4541C9FD" w14:textId="2A30247D" w:rsidR="00681C14" w:rsidRDefault="00681C14" w:rsidP="004B659D">
      <w:pPr>
        <w:rPr>
          <w:i/>
        </w:rPr>
      </w:pPr>
    </w:p>
    <w:p w14:paraId="07EEC9CD" w14:textId="3822E0CD" w:rsidR="004B659D" w:rsidRDefault="004B659D" w:rsidP="004B659D">
      <w:r>
        <w:rPr>
          <w:i/>
        </w:rPr>
        <w:t>Administration</w:t>
      </w:r>
      <w:r w:rsidR="00841D7A">
        <w:rPr>
          <w:i/>
        </w:rPr>
        <w:t>.</w:t>
      </w:r>
      <w:r w:rsidR="006B6F36">
        <w:rPr>
          <w:i/>
        </w:rPr>
        <w:t xml:space="preserve"> </w:t>
      </w:r>
      <w:r>
        <w:t>During FY 20</w:t>
      </w:r>
      <w:r w:rsidR="006E27A1">
        <w:t>20</w:t>
      </w:r>
      <w:r w:rsidR="00AF4593">
        <w:t xml:space="preserve">, </w:t>
      </w:r>
      <w:r w:rsidR="004B5A55">
        <w:t>s</w:t>
      </w:r>
      <w:r w:rsidR="00AF4593">
        <w:t>tates</w:t>
      </w:r>
      <w:r w:rsidR="00E376A6">
        <w:t xml:space="preserve"> and territories</w:t>
      </w:r>
      <w:r w:rsidR="00AF4593">
        <w:t xml:space="preserve"> </w:t>
      </w:r>
      <w:r w:rsidR="00AF4593" w:rsidRPr="006A5FF0">
        <w:t>expen</w:t>
      </w:r>
      <w:r w:rsidR="00B80509" w:rsidRPr="006A5FF0">
        <w:t xml:space="preserve">ded </w:t>
      </w:r>
      <w:r w:rsidR="00D14FC7" w:rsidRPr="00DC6AD3">
        <w:t>$</w:t>
      </w:r>
      <w:r w:rsidR="00CE0612">
        <w:t>296</w:t>
      </w:r>
      <w:r w:rsidR="00CE0612" w:rsidRPr="006A5FF0">
        <w:t xml:space="preserve"> </w:t>
      </w:r>
      <w:r w:rsidR="00D14FC7" w:rsidRPr="006A5FF0">
        <w:t>million</w:t>
      </w:r>
      <w:r w:rsidR="00D14FC7" w:rsidRPr="00DC6AD3">
        <w:t xml:space="preserve"> or </w:t>
      </w:r>
      <w:r w:rsidR="00CE0612">
        <w:t>2</w:t>
      </w:r>
      <w:r w:rsidR="00D14FC7" w:rsidRPr="00DC6AD3">
        <w:t xml:space="preserve"> percent</w:t>
      </w:r>
      <w:r w:rsidRPr="00DC6AD3">
        <w:t xml:space="preserve"> of</w:t>
      </w:r>
      <w:r>
        <w:t xml:space="preserve"> total </w:t>
      </w:r>
      <w:r w:rsidR="004B5A55">
        <w:t>f</w:t>
      </w:r>
      <w:r>
        <w:t xml:space="preserve">ederal and </w:t>
      </w:r>
      <w:r w:rsidR="004B5A55">
        <w:t>s</w:t>
      </w:r>
      <w:r>
        <w:t>tate expenditures (including MOE)</w:t>
      </w:r>
      <w:r w:rsidR="00AF4593">
        <w:t xml:space="preserve"> on administrative activities</w:t>
      </w:r>
      <w:r w:rsidR="006B6F36">
        <w:t xml:space="preserve">. </w:t>
      </w:r>
      <w:r>
        <w:t xml:space="preserve">The </w:t>
      </w:r>
      <w:r w:rsidR="00870852">
        <w:t xml:space="preserve">statute limits CCDF administrative expenditures from each grant award year to no more than </w:t>
      </w:r>
      <w:r>
        <w:t>5 percent</w:t>
      </w:r>
      <w:r w:rsidR="00DC75BF">
        <w:t>.</w:t>
      </w:r>
      <w:r w:rsidR="00841D7A">
        <w:t xml:space="preserve"> </w:t>
      </w:r>
      <w:r>
        <w:t>Compliance with this requirement is assessed at the end of the liquidation period.</w:t>
      </w:r>
    </w:p>
    <w:p w14:paraId="6EC07D9C" w14:textId="2BE71170" w:rsidR="008E3F28" w:rsidRDefault="008E3F28" w:rsidP="004B659D"/>
    <w:p w14:paraId="699FB617" w14:textId="015ED5FE" w:rsidR="004926A8" w:rsidRDefault="00C03C02" w:rsidP="004B659D">
      <w:r>
        <w:rPr>
          <w:noProof/>
        </w:rPr>
        <w:drawing>
          <wp:anchor distT="0" distB="0" distL="114300" distR="114300" simplePos="0" relativeHeight="251657213" behindDoc="0" locked="0" layoutInCell="1" allowOverlap="1" wp14:anchorId="7D6A94E1" wp14:editId="77513720">
            <wp:simplePos x="0" y="0"/>
            <wp:positionH relativeFrom="margin">
              <wp:posOffset>-38100</wp:posOffset>
            </wp:positionH>
            <wp:positionV relativeFrom="paragraph">
              <wp:posOffset>335915</wp:posOffset>
            </wp:positionV>
            <wp:extent cx="4427220" cy="2895600"/>
            <wp:effectExtent l="0" t="0" r="11430" b="0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59D">
        <w:rPr>
          <w:i/>
        </w:rPr>
        <w:t>Non-Direct Services</w:t>
      </w:r>
      <w:r w:rsidR="00841D7A">
        <w:t xml:space="preserve">. </w:t>
      </w:r>
      <w:r w:rsidR="004B659D">
        <w:t xml:space="preserve">States </w:t>
      </w:r>
      <w:r w:rsidR="00E376A6">
        <w:t xml:space="preserve">and territories </w:t>
      </w:r>
      <w:r w:rsidR="004B659D" w:rsidRPr="006A5FF0">
        <w:t xml:space="preserve">spent </w:t>
      </w:r>
      <w:r w:rsidR="00D14FC7" w:rsidRPr="006A5FF0">
        <w:t>$</w:t>
      </w:r>
      <w:r w:rsidR="00CE0612">
        <w:t>1.1 b</w:t>
      </w:r>
      <w:r w:rsidR="00D14FC7" w:rsidRPr="00DC6AD3">
        <w:t>illion</w:t>
      </w:r>
      <w:r w:rsidR="00212FC8" w:rsidRPr="00DC6AD3">
        <w:t xml:space="preserve"> o</w:t>
      </w:r>
      <w:r w:rsidR="004B659D" w:rsidRPr="00DC6AD3">
        <w:t xml:space="preserve">n non-direct services, </w:t>
      </w:r>
      <w:r w:rsidR="00D14FC7" w:rsidRPr="00DC6AD3">
        <w:t xml:space="preserve">or </w:t>
      </w:r>
      <w:r w:rsidR="00CE0612">
        <w:t>8</w:t>
      </w:r>
      <w:r w:rsidR="00F00DAD" w:rsidRPr="006A5FF0">
        <w:t xml:space="preserve"> </w:t>
      </w:r>
      <w:r w:rsidR="00D14FC7" w:rsidRPr="006A5FF0">
        <w:t>percent</w:t>
      </w:r>
      <w:r w:rsidR="004B659D" w:rsidRPr="00DC6AD3">
        <w:t xml:space="preserve"> of total </w:t>
      </w:r>
      <w:r w:rsidR="004B5A55" w:rsidRPr="00DC6AD3">
        <w:t>s</w:t>
      </w:r>
      <w:r w:rsidR="004B659D" w:rsidRPr="00DC6AD3">
        <w:t xml:space="preserve">tate and </w:t>
      </w:r>
      <w:r w:rsidR="004B5A55" w:rsidRPr="00DC6AD3">
        <w:t>f</w:t>
      </w:r>
      <w:r w:rsidR="004B659D" w:rsidRPr="00DC6AD3">
        <w:t>ederal expenditures in FY 20</w:t>
      </w:r>
      <w:r w:rsidR="006E27A1">
        <w:t>20</w:t>
      </w:r>
      <w:r w:rsidR="00841D7A" w:rsidRPr="00DC6AD3">
        <w:t xml:space="preserve">. </w:t>
      </w:r>
      <w:r w:rsidR="004B659D" w:rsidRPr="00DC6AD3">
        <w:t>The breakdown of non-direct services expenditures</w:t>
      </w:r>
      <w:r w:rsidR="004B659D">
        <w:t xml:space="preserve"> </w:t>
      </w:r>
      <w:r w:rsidR="004B659D" w:rsidRPr="006A5FF0">
        <w:t>is</w:t>
      </w:r>
      <w:r w:rsidR="00A54350" w:rsidRPr="006A5FF0">
        <w:t xml:space="preserve"> </w:t>
      </w:r>
      <w:r w:rsidR="00B938E2" w:rsidRPr="00DC6AD3">
        <w:t>$</w:t>
      </w:r>
      <w:r w:rsidR="00CE0612">
        <w:t>436</w:t>
      </w:r>
      <w:r w:rsidR="00F00DAD">
        <w:t xml:space="preserve"> </w:t>
      </w:r>
      <w:r w:rsidR="00B938E2" w:rsidRPr="00DC6AD3">
        <w:t>million</w:t>
      </w:r>
      <w:r w:rsidR="004B659D" w:rsidRPr="00E16D67">
        <w:t xml:space="preserve"> on</w:t>
      </w:r>
      <w:r w:rsidR="004B659D">
        <w:t xml:space="preserve"> child care computer information </w:t>
      </w:r>
      <w:r w:rsidR="00D14FC7" w:rsidRPr="00E16D67">
        <w:t>systems,</w:t>
      </w:r>
      <w:r w:rsidR="00762281" w:rsidRPr="00E16D67">
        <w:t xml:space="preserve"> </w:t>
      </w:r>
      <w:r w:rsidR="00D14FC7" w:rsidRPr="006A5FF0">
        <w:t>$</w:t>
      </w:r>
      <w:r w:rsidR="00C31D95" w:rsidRPr="006A5FF0">
        <w:t>2</w:t>
      </w:r>
      <w:r w:rsidR="00CE0612">
        <w:t>84</w:t>
      </w:r>
      <w:r w:rsidR="00C31D95" w:rsidRPr="006A5FF0">
        <w:t xml:space="preserve"> </w:t>
      </w:r>
      <w:r w:rsidR="00D14FC7" w:rsidRPr="006A5FF0">
        <w:t>million</w:t>
      </w:r>
      <w:r w:rsidR="004B659D" w:rsidRPr="00DC6AD3">
        <w:t xml:space="preserve"> on certificate programs</w:t>
      </w:r>
      <w:r w:rsidR="004B659D">
        <w:t xml:space="preserve"> and eligibility determinations</w:t>
      </w:r>
      <w:r w:rsidR="00237F6C" w:rsidRPr="00E16D67">
        <w:t>,</w:t>
      </w:r>
      <w:r w:rsidR="004B659D" w:rsidRPr="00E16D67">
        <w:t xml:space="preserve"> </w:t>
      </w:r>
      <w:r w:rsidR="00D14FC7" w:rsidRPr="00E16D67">
        <w:t xml:space="preserve">and </w:t>
      </w:r>
      <w:r w:rsidR="00D14FC7" w:rsidRPr="006A5FF0">
        <w:t>$</w:t>
      </w:r>
      <w:r w:rsidR="00CE0612">
        <w:t>334</w:t>
      </w:r>
      <w:r w:rsidR="00F00DAD" w:rsidRPr="006A5FF0">
        <w:t xml:space="preserve"> </w:t>
      </w:r>
      <w:r w:rsidR="00D14FC7" w:rsidRPr="00DC6AD3">
        <w:t>million</w:t>
      </w:r>
      <w:r w:rsidR="004B659D" w:rsidRPr="00DC6AD3">
        <w:t xml:space="preserve"> for other costs.</w:t>
      </w:r>
      <w:r w:rsidR="004B659D">
        <w:t xml:space="preserve"> </w:t>
      </w:r>
    </w:p>
    <w:p w14:paraId="052A3335" w14:textId="0961F2FC" w:rsidR="00CE0612" w:rsidRDefault="00F00DAD" w:rsidP="00782CE7">
      <w:pPr>
        <w:rPr>
          <w:i/>
          <w:szCs w:val="24"/>
        </w:rPr>
      </w:pPr>
      <w:r w:rsidRPr="00F00DAD">
        <w:rPr>
          <w:noProof/>
        </w:rPr>
        <w:t xml:space="preserve"> </w:t>
      </w:r>
    </w:p>
    <w:p w14:paraId="307BB04C" w14:textId="39BE3DF8" w:rsidR="000540D2" w:rsidRDefault="001C1D2F" w:rsidP="0041198B">
      <w:pPr>
        <w:pStyle w:val="FootnoteText"/>
        <w:rPr>
          <w:sz w:val="24"/>
          <w:szCs w:val="24"/>
        </w:rPr>
      </w:pPr>
      <w:r w:rsidRPr="001C1D2F">
        <w:rPr>
          <w:i/>
          <w:sz w:val="24"/>
          <w:szCs w:val="24"/>
        </w:rPr>
        <w:t>Unobligated Funds</w:t>
      </w:r>
      <w:r w:rsidR="00335C01">
        <w:rPr>
          <w:i/>
          <w:sz w:val="24"/>
          <w:szCs w:val="24"/>
        </w:rPr>
        <w:t xml:space="preserve">. </w:t>
      </w:r>
      <w:r w:rsidRPr="001C1D2F">
        <w:rPr>
          <w:sz w:val="24"/>
          <w:szCs w:val="24"/>
        </w:rPr>
        <w:t>States</w:t>
      </w:r>
      <w:r w:rsidR="00E376A6">
        <w:rPr>
          <w:sz w:val="24"/>
          <w:szCs w:val="24"/>
        </w:rPr>
        <w:t xml:space="preserve"> and territories</w:t>
      </w:r>
      <w:r w:rsidRPr="001C1D2F">
        <w:rPr>
          <w:sz w:val="24"/>
          <w:szCs w:val="24"/>
        </w:rPr>
        <w:t xml:space="preserve"> </w:t>
      </w:r>
      <w:r w:rsidRPr="001C1D2F">
        <w:rPr>
          <w:sz w:val="24"/>
          <w:szCs w:val="24"/>
        </w:rPr>
        <w:lastRenderedPageBreak/>
        <w:t xml:space="preserve">reported unobligated balances of </w:t>
      </w:r>
      <w:r w:rsidRPr="006A5FF0">
        <w:rPr>
          <w:sz w:val="24"/>
          <w:szCs w:val="24"/>
        </w:rPr>
        <w:t xml:space="preserve">about </w:t>
      </w:r>
      <w:r w:rsidR="009F0A05" w:rsidRPr="006A5FF0">
        <w:rPr>
          <w:sz w:val="24"/>
          <w:szCs w:val="24"/>
        </w:rPr>
        <w:t>$</w:t>
      </w:r>
      <w:r w:rsidR="00C03C02">
        <w:rPr>
          <w:sz w:val="24"/>
          <w:szCs w:val="24"/>
        </w:rPr>
        <w:t>2.9</w:t>
      </w:r>
      <w:r w:rsidR="00C42AE5" w:rsidRPr="006A5FF0">
        <w:rPr>
          <w:sz w:val="24"/>
          <w:szCs w:val="24"/>
        </w:rPr>
        <w:t xml:space="preserve"> </w:t>
      </w:r>
      <w:r w:rsidR="00C42AE5">
        <w:rPr>
          <w:sz w:val="24"/>
          <w:szCs w:val="24"/>
        </w:rPr>
        <w:t>b</w:t>
      </w:r>
      <w:r w:rsidRPr="006A5FF0">
        <w:rPr>
          <w:sz w:val="24"/>
          <w:szCs w:val="24"/>
        </w:rPr>
        <w:t>illion.</w:t>
      </w:r>
      <w:r w:rsidRPr="001C1D2F">
        <w:rPr>
          <w:sz w:val="24"/>
          <w:szCs w:val="24"/>
        </w:rPr>
        <w:t xml:space="preserve"> </w:t>
      </w:r>
    </w:p>
    <w:p w14:paraId="142732EC" w14:textId="1A13DCDA" w:rsidR="001C1174" w:rsidRDefault="001C1174" w:rsidP="0041198B">
      <w:pPr>
        <w:pStyle w:val="FootnoteText"/>
        <w:rPr>
          <w:sz w:val="24"/>
          <w:szCs w:val="24"/>
          <w:u w:val="single"/>
        </w:rPr>
      </w:pPr>
    </w:p>
    <w:tbl>
      <w:tblPr>
        <w:tblW w:w="9266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982"/>
        <w:gridCol w:w="1821"/>
        <w:gridCol w:w="1821"/>
        <w:gridCol w:w="1821"/>
        <w:gridCol w:w="1821"/>
      </w:tblGrid>
      <w:tr w:rsidR="000540D2" w:rsidRPr="00C42AE5" w14:paraId="2F065530" w14:textId="77777777" w:rsidTr="00EB5349">
        <w:trPr>
          <w:trHeight w:val="315"/>
        </w:trPr>
        <w:tc>
          <w:tcPr>
            <w:tcW w:w="9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3ED93D02" w14:textId="36820F7F" w:rsidR="000540D2" w:rsidRPr="00C42AE5" w:rsidRDefault="000540D2" w:rsidP="005477F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42A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Table 2 - Unobligated</w:t>
            </w:r>
            <w:r w:rsidRPr="00EB5349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1</w:t>
            </w:r>
            <w:r w:rsidRPr="00C42A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Funds as of 09/30/</w:t>
            </w:r>
            <w:r w:rsidR="00C03C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</w:tr>
      <w:tr w:rsidR="003E4FAA" w:rsidRPr="00C42AE5" w14:paraId="43C652E1" w14:textId="77777777" w:rsidTr="00EB5349">
        <w:trPr>
          <w:trHeight w:val="297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ED5A7" w14:textId="77777777" w:rsidR="003E4FAA" w:rsidRPr="00C42AE5" w:rsidRDefault="003E4FAA" w:rsidP="003E4F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71885" w14:textId="369942D8" w:rsidR="003E4FAA" w:rsidRPr="003E4FAA" w:rsidRDefault="003E4FAA" w:rsidP="003E4F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3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GY 201</w:t>
            </w:r>
            <w:r w:rsidR="006E27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490A5" w14:textId="30A62BCA" w:rsidR="003E4FAA" w:rsidRPr="003E4FAA" w:rsidRDefault="003E4FAA" w:rsidP="003E4F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3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GY 201</w:t>
            </w:r>
            <w:r w:rsidR="006E27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DB3D3" w14:textId="71EABD9F" w:rsidR="003E4FAA" w:rsidRPr="003E4FAA" w:rsidRDefault="003E4FAA" w:rsidP="003E4F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3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GY 20</w:t>
            </w:r>
            <w:r w:rsidR="006E27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89419" w14:textId="27E56B9B" w:rsidR="003E4FAA" w:rsidRPr="003E4FAA" w:rsidRDefault="003E4FAA" w:rsidP="003E4F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3D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by Fund </w:t>
            </w:r>
          </w:p>
        </w:tc>
      </w:tr>
      <w:tr w:rsidR="00C03C02" w:rsidRPr="00C42AE5" w14:paraId="5F714698" w14:textId="77777777" w:rsidTr="00782CE7">
        <w:trPr>
          <w:trHeight w:val="255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66CBD" w14:textId="31991E30" w:rsidR="00C03C02" w:rsidRPr="00C42AE5" w:rsidRDefault="00C03C02" w:rsidP="00C03C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5349">
              <w:rPr>
                <w:rFonts w:ascii="Arial" w:hAnsi="Arial" w:cs="Arial"/>
                <w:color w:val="000000"/>
                <w:sz w:val="16"/>
                <w:szCs w:val="16"/>
              </w:rPr>
              <w:t>Mandatory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650D3" w14:textId="4EFDB8D5" w:rsidR="00C03C02" w:rsidRPr="003E4FAA" w:rsidRDefault="00C03C02" w:rsidP="00C03C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$99,094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7710B" w14:textId="76A8A30F" w:rsidR="00C03C02" w:rsidRPr="003E4FAA" w:rsidRDefault="00C03C02" w:rsidP="00C03C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$0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863EC" w14:textId="3E8474EE" w:rsidR="00C03C02" w:rsidRPr="003E4FAA" w:rsidRDefault="00C03C02" w:rsidP="00C03C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$0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E4606" w14:textId="7A869950" w:rsidR="00C03C02" w:rsidRPr="003E4FAA" w:rsidRDefault="00C03C02" w:rsidP="00C03C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$99,094 </w:t>
            </w:r>
          </w:p>
        </w:tc>
      </w:tr>
      <w:tr w:rsidR="00C03C02" w:rsidRPr="00C42AE5" w14:paraId="52DA0C4D" w14:textId="77777777" w:rsidTr="00782CE7">
        <w:trPr>
          <w:trHeight w:val="255"/>
        </w:trPr>
        <w:tc>
          <w:tcPr>
            <w:tcW w:w="198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7AE1D26" w14:textId="5DD3471B" w:rsidR="00C03C02" w:rsidRPr="00C42AE5" w:rsidRDefault="00C03C02" w:rsidP="00C03C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5349">
              <w:rPr>
                <w:rFonts w:ascii="Arial" w:hAnsi="Arial" w:cs="Arial"/>
                <w:color w:val="000000"/>
                <w:sz w:val="16"/>
                <w:szCs w:val="16"/>
              </w:rPr>
              <w:t>Matching Federal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0EBD0" w14:textId="18B47D83" w:rsidR="00C03C02" w:rsidRPr="003E4FAA" w:rsidRDefault="00C03C02" w:rsidP="00C03C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$11,918,825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33618" w14:textId="5F3FD059" w:rsidR="00C03C02" w:rsidRPr="003E4FAA" w:rsidRDefault="00C03C02" w:rsidP="00C03C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$37,792,281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F2503" w14:textId="2E28C44B" w:rsidR="00C03C02" w:rsidRPr="003E4FAA" w:rsidRDefault="00C03C02" w:rsidP="00C03C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$71,242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BCC51" w14:textId="6CFF428A" w:rsidR="00C03C02" w:rsidRPr="003E4FAA" w:rsidRDefault="00C03C02" w:rsidP="00C03C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$49,782,348 </w:t>
            </w:r>
          </w:p>
        </w:tc>
      </w:tr>
      <w:tr w:rsidR="00C03C02" w:rsidRPr="00C42AE5" w14:paraId="1AF4E52B" w14:textId="77777777" w:rsidTr="00782CE7">
        <w:trPr>
          <w:trHeight w:val="255"/>
        </w:trPr>
        <w:tc>
          <w:tcPr>
            <w:tcW w:w="198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216CDC0" w14:textId="2AFF8250" w:rsidR="00C03C02" w:rsidRPr="00C42AE5" w:rsidRDefault="00C03C02" w:rsidP="00C03C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5349">
              <w:rPr>
                <w:rFonts w:ascii="Arial" w:hAnsi="Arial" w:cs="Arial"/>
                <w:color w:val="000000"/>
                <w:sz w:val="16"/>
                <w:szCs w:val="16"/>
              </w:rPr>
              <w:t>Discretionary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0082F" w14:textId="17A8AB69" w:rsidR="00C03C02" w:rsidRPr="003E4FAA" w:rsidRDefault="00C03C02" w:rsidP="00C03C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$53,535,801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6A6DA" w14:textId="3CC4979D" w:rsidR="00C03C02" w:rsidRPr="003E4FAA" w:rsidRDefault="00C03C02" w:rsidP="00C03C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$55,666,133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BC061" w14:textId="5CF92BEA" w:rsidR="00C03C02" w:rsidRPr="003E4FAA" w:rsidRDefault="00C03C02" w:rsidP="00C03C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$1,891,833,986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01225" w14:textId="5E168D97" w:rsidR="00C03C02" w:rsidRPr="003E4FAA" w:rsidRDefault="00C03C02" w:rsidP="00C03C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$2,001,035,920 </w:t>
            </w:r>
          </w:p>
        </w:tc>
      </w:tr>
      <w:tr w:rsidR="00C03C02" w:rsidRPr="00C42AE5" w14:paraId="49C60B30" w14:textId="77777777" w:rsidTr="00782CE7">
        <w:trPr>
          <w:trHeight w:val="255"/>
        </w:trPr>
        <w:tc>
          <w:tcPr>
            <w:tcW w:w="19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E116E16" w14:textId="4FE2D7DD" w:rsidR="00C03C02" w:rsidRPr="00EB5349" w:rsidRDefault="00C03C02" w:rsidP="00C03C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C02">
              <w:rPr>
                <w:rFonts w:ascii="Arial" w:hAnsi="Arial" w:cs="Arial"/>
                <w:color w:val="000000"/>
                <w:sz w:val="16"/>
                <w:szCs w:val="16"/>
              </w:rPr>
              <w:t>Discretionary CARES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90D86" w14:textId="107A81D2" w:rsidR="00C03C02" w:rsidRPr="008F3D48" w:rsidRDefault="00C03C02" w:rsidP="00C03C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884C0" w14:textId="46D31CD8" w:rsidR="00C03C02" w:rsidRPr="008F3D48" w:rsidRDefault="00C03C02" w:rsidP="00C03C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9A6FE" w14:textId="2C067638" w:rsidR="00C03C02" w:rsidRPr="008F3D48" w:rsidRDefault="00C03C02" w:rsidP="00C03C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$846,983,931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85807" w14:textId="0EF1FD77" w:rsidR="00C03C02" w:rsidRPr="008F3D48" w:rsidRDefault="00C03C02" w:rsidP="00C03C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$846,983,931 </w:t>
            </w:r>
          </w:p>
        </w:tc>
      </w:tr>
      <w:tr w:rsidR="00C03C02" w:rsidRPr="00C42AE5" w14:paraId="166231B4" w14:textId="77777777" w:rsidTr="00782CE7">
        <w:trPr>
          <w:trHeight w:val="441"/>
        </w:trPr>
        <w:tc>
          <w:tcPr>
            <w:tcW w:w="1982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3BACAD4" w14:textId="23906770" w:rsidR="00C03C02" w:rsidRPr="00EB5349" w:rsidRDefault="00C03C02" w:rsidP="00C03C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C02">
              <w:rPr>
                <w:rFonts w:ascii="Arial" w:hAnsi="Arial" w:cs="Arial"/>
                <w:color w:val="000000"/>
                <w:sz w:val="16"/>
                <w:szCs w:val="16"/>
              </w:rPr>
              <w:t>Discretionary Disaster Relief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3EB94" w14:textId="74957DC4" w:rsidR="00C03C02" w:rsidRPr="008F3D48" w:rsidRDefault="00C03C02" w:rsidP="00C03C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147F5" w14:textId="2606C99B" w:rsidR="00C03C02" w:rsidRPr="008F3D48" w:rsidRDefault="00C03C02" w:rsidP="00C03C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26EE1" w14:textId="6D710D75" w:rsidR="00C03C02" w:rsidRPr="008F3D48" w:rsidRDefault="00C03C02" w:rsidP="00C03C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$6,128,884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45E4A" w14:textId="251E2CA7" w:rsidR="00C03C02" w:rsidRPr="008F3D48" w:rsidRDefault="00C03C02" w:rsidP="00C03C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$6,128,884 </w:t>
            </w:r>
          </w:p>
        </w:tc>
      </w:tr>
      <w:tr w:rsidR="00C03C02" w:rsidRPr="00C42AE5" w14:paraId="189F9181" w14:textId="77777777" w:rsidTr="00782CE7">
        <w:trPr>
          <w:trHeight w:val="255"/>
        </w:trPr>
        <w:tc>
          <w:tcPr>
            <w:tcW w:w="198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8604A" w14:textId="37B999A2" w:rsidR="00C03C02" w:rsidRPr="00C42AE5" w:rsidRDefault="00C03C02" w:rsidP="00C03C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53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2BD2B" w14:textId="2242D50A" w:rsidR="00C03C02" w:rsidRPr="003E4FAA" w:rsidRDefault="00C03C02" w:rsidP="00C03C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$65,553,720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FDCA3" w14:textId="78F3ABC8" w:rsidR="00C03C02" w:rsidRPr="003E4FAA" w:rsidRDefault="00C03C02" w:rsidP="00C03C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$93,458,414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00DA9" w14:textId="37121EFA" w:rsidR="00C03C02" w:rsidRPr="003E4FAA" w:rsidRDefault="00C03C02" w:rsidP="00C03C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$2,745,018,043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9124A" w14:textId="4D3B3875" w:rsidR="00C03C02" w:rsidRPr="003E4FAA" w:rsidRDefault="00C03C02" w:rsidP="00C03C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$2,904,030,176 </w:t>
            </w:r>
          </w:p>
        </w:tc>
      </w:tr>
    </w:tbl>
    <w:p w14:paraId="2C7D9696" w14:textId="77777777" w:rsidR="00F84229" w:rsidRPr="00EB5349" w:rsidRDefault="00F84229" w:rsidP="00EB5349">
      <w:pPr>
        <w:ind w:left="180"/>
        <w:rPr>
          <w:rFonts w:ascii="Arial" w:hAnsi="Arial" w:cs="Arial"/>
          <w:color w:val="000000"/>
          <w:sz w:val="16"/>
          <w:szCs w:val="16"/>
        </w:rPr>
      </w:pPr>
    </w:p>
    <w:p w14:paraId="094E1BC3" w14:textId="43434A8C" w:rsidR="000540D2" w:rsidRPr="00EB5349" w:rsidRDefault="000540D2" w:rsidP="00EB5349">
      <w:pPr>
        <w:ind w:left="360"/>
        <w:rPr>
          <w:rFonts w:ascii="Arial" w:hAnsi="Arial" w:cs="Arial"/>
          <w:sz w:val="16"/>
          <w:szCs w:val="16"/>
        </w:rPr>
      </w:pPr>
      <w:r w:rsidRPr="00EB5349">
        <w:rPr>
          <w:rFonts w:ascii="Arial" w:hAnsi="Arial" w:cs="Arial"/>
          <w:color w:val="000000"/>
          <w:sz w:val="16"/>
          <w:szCs w:val="16"/>
        </w:rPr>
        <w:t>1</w:t>
      </w:r>
      <w:r w:rsidR="005477F8" w:rsidRPr="00EB5349">
        <w:rPr>
          <w:rFonts w:ascii="Arial" w:hAnsi="Arial" w:cs="Arial"/>
          <w:color w:val="000000"/>
          <w:sz w:val="16"/>
          <w:szCs w:val="16"/>
        </w:rPr>
        <w:t xml:space="preserve"> Funds not meeting obligation</w:t>
      </w:r>
      <w:r w:rsidRPr="00EB5349">
        <w:rPr>
          <w:rFonts w:ascii="Arial" w:hAnsi="Arial" w:cs="Arial"/>
          <w:color w:val="000000"/>
          <w:sz w:val="16"/>
          <w:szCs w:val="16"/>
        </w:rPr>
        <w:t xml:space="preserve"> deadlines are subject to de-obligation by ACF.</w:t>
      </w:r>
      <w:r w:rsidR="00667EB5" w:rsidRPr="00EB5349">
        <w:rPr>
          <w:rFonts w:ascii="Arial" w:hAnsi="Arial" w:cs="Arial"/>
          <w:color w:val="000000"/>
          <w:sz w:val="16"/>
          <w:szCs w:val="16"/>
        </w:rPr>
        <w:t xml:space="preserve"> </w:t>
      </w:r>
      <w:r w:rsidR="00E570A0" w:rsidRPr="00EB5349">
        <w:rPr>
          <w:rFonts w:ascii="Arial" w:hAnsi="Arial" w:cs="Arial"/>
          <w:color w:val="000000"/>
          <w:sz w:val="16"/>
          <w:szCs w:val="16"/>
        </w:rPr>
        <w:t>States</w:t>
      </w:r>
      <w:r w:rsidR="00E376A6">
        <w:rPr>
          <w:rFonts w:ascii="Arial" w:hAnsi="Arial" w:cs="Arial"/>
          <w:color w:val="000000"/>
          <w:sz w:val="16"/>
          <w:szCs w:val="16"/>
        </w:rPr>
        <w:t xml:space="preserve"> </w:t>
      </w:r>
      <w:r w:rsidR="00E570A0" w:rsidRPr="00EB5349">
        <w:rPr>
          <w:rFonts w:ascii="Arial" w:hAnsi="Arial" w:cs="Arial"/>
          <w:color w:val="000000"/>
          <w:sz w:val="16"/>
          <w:szCs w:val="16"/>
        </w:rPr>
        <w:t xml:space="preserve">have </w:t>
      </w:r>
      <w:r w:rsidR="004B5A55" w:rsidRPr="00EB5349">
        <w:rPr>
          <w:rFonts w:ascii="Arial" w:hAnsi="Arial" w:cs="Arial"/>
          <w:color w:val="000000"/>
          <w:sz w:val="16"/>
          <w:szCs w:val="16"/>
        </w:rPr>
        <w:t xml:space="preserve">1 </w:t>
      </w:r>
      <w:r w:rsidR="00E570A0" w:rsidRPr="00EB5349">
        <w:rPr>
          <w:rFonts w:ascii="Arial" w:hAnsi="Arial" w:cs="Arial"/>
          <w:color w:val="000000"/>
          <w:sz w:val="16"/>
          <w:szCs w:val="16"/>
        </w:rPr>
        <w:t>year to obligate</w:t>
      </w:r>
      <w:r w:rsidR="00E570A0" w:rsidRPr="00EB5349">
        <w:rPr>
          <w:rFonts w:ascii="Arial" w:hAnsi="Arial" w:cs="Arial"/>
          <w:sz w:val="16"/>
          <w:szCs w:val="16"/>
        </w:rPr>
        <w:t xml:space="preserve"> </w:t>
      </w:r>
      <w:r w:rsidR="00A54350" w:rsidRPr="00EB5349">
        <w:rPr>
          <w:rFonts w:ascii="Arial" w:hAnsi="Arial" w:cs="Arial"/>
          <w:sz w:val="16"/>
          <w:szCs w:val="16"/>
        </w:rPr>
        <w:t>m</w:t>
      </w:r>
      <w:r w:rsidR="00E570A0" w:rsidRPr="00EB5349">
        <w:rPr>
          <w:rFonts w:ascii="Arial" w:hAnsi="Arial" w:cs="Arial"/>
          <w:sz w:val="16"/>
          <w:szCs w:val="16"/>
        </w:rPr>
        <w:t xml:space="preserve">andatory funds if Matching funds are requested, </w:t>
      </w:r>
      <w:r w:rsidR="004B5A55" w:rsidRPr="00EB5349">
        <w:rPr>
          <w:rFonts w:ascii="Arial" w:hAnsi="Arial" w:cs="Arial"/>
          <w:sz w:val="16"/>
          <w:szCs w:val="16"/>
        </w:rPr>
        <w:t xml:space="preserve">1 </w:t>
      </w:r>
      <w:r w:rsidR="00E570A0" w:rsidRPr="00EB5349">
        <w:rPr>
          <w:rFonts w:ascii="Arial" w:hAnsi="Arial" w:cs="Arial"/>
          <w:sz w:val="16"/>
          <w:szCs w:val="16"/>
        </w:rPr>
        <w:t xml:space="preserve">year to obligate Matching funds, and </w:t>
      </w:r>
      <w:r w:rsidR="004B5A55" w:rsidRPr="00EB5349">
        <w:rPr>
          <w:rFonts w:ascii="Arial" w:hAnsi="Arial" w:cs="Arial"/>
          <w:sz w:val="16"/>
          <w:szCs w:val="16"/>
        </w:rPr>
        <w:t xml:space="preserve">2 </w:t>
      </w:r>
      <w:r w:rsidR="00E570A0" w:rsidRPr="00EB5349">
        <w:rPr>
          <w:rFonts w:ascii="Arial" w:hAnsi="Arial" w:cs="Arial"/>
          <w:sz w:val="16"/>
          <w:szCs w:val="16"/>
        </w:rPr>
        <w:t>years to obligate Discretionary funds</w:t>
      </w:r>
      <w:r w:rsidR="00335C01" w:rsidRPr="00EB5349">
        <w:rPr>
          <w:rFonts w:ascii="Arial" w:hAnsi="Arial" w:cs="Arial"/>
          <w:sz w:val="16"/>
          <w:szCs w:val="16"/>
        </w:rPr>
        <w:t xml:space="preserve">. </w:t>
      </w:r>
    </w:p>
    <w:p w14:paraId="148BD0C0" w14:textId="77777777" w:rsidR="0041198B" w:rsidRDefault="0041198B" w:rsidP="0041198B">
      <w:pPr>
        <w:pStyle w:val="FootnoteText"/>
      </w:pPr>
    </w:p>
    <w:p w14:paraId="52D3FF1C" w14:textId="1C5E29F2" w:rsidR="004B659D" w:rsidRPr="0041198B" w:rsidRDefault="004B659D" w:rsidP="0041198B">
      <w:pPr>
        <w:pStyle w:val="FootnoteText"/>
        <w:rPr>
          <w:sz w:val="24"/>
          <w:szCs w:val="24"/>
        </w:rPr>
      </w:pPr>
      <w:r w:rsidRPr="0041198B">
        <w:rPr>
          <w:i/>
          <w:sz w:val="24"/>
          <w:szCs w:val="24"/>
        </w:rPr>
        <w:t xml:space="preserve">Unliquidated </w:t>
      </w:r>
      <w:r w:rsidR="003327F3" w:rsidRPr="0041198B">
        <w:rPr>
          <w:i/>
          <w:sz w:val="24"/>
          <w:szCs w:val="24"/>
        </w:rPr>
        <w:t>Obligations</w:t>
      </w:r>
      <w:r w:rsidR="00841D7A" w:rsidRPr="0041198B">
        <w:rPr>
          <w:i/>
          <w:sz w:val="24"/>
          <w:szCs w:val="24"/>
        </w:rPr>
        <w:t xml:space="preserve">. </w:t>
      </w:r>
      <w:r w:rsidR="003327F3" w:rsidRPr="0041198B">
        <w:rPr>
          <w:sz w:val="24"/>
          <w:szCs w:val="24"/>
        </w:rPr>
        <w:t xml:space="preserve">Of funds that have been obligated, </w:t>
      </w:r>
      <w:r w:rsidR="004B5A55">
        <w:rPr>
          <w:sz w:val="24"/>
          <w:szCs w:val="24"/>
        </w:rPr>
        <w:t>s</w:t>
      </w:r>
      <w:r w:rsidRPr="0041198B">
        <w:rPr>
          <w:sz w:val="24"/>
          <w:szCs w:val="24"/>
        </w:rPr>
        <w:t>tates</w:t>
      </w:r>
      <w:r w:rsidR="00E376A6">
        <w:rPr>
          <w:sz w:val="24"/>
          <w:szCs w:val="24"/>
        </w:rPr>
        <w:t xml:space="preserve"> and territories</w:t>
      </w:r>
      <w:r w:rsidRPr="0041198B">
        <w:rPr>
          <w:sz w:val="24"/>
          <w:szCs w:val="24"/>
        </w:rPr>
        <w:t xml:space="preserve"> reported unliquidated </w:t>
      </w:r>
      <w:r w:rsidRPr="00DC6AD3">
        <w:rPr>
          <w:sz w:val="24"/>
          <w:szCs w:val="24"/>
        </w:rPr>
        <w:t>balances</w:t>
      </w:r>
      <w:r w:rsidR="001B6654" w:rsidRPr="00DC6AD3">
        <w:rPr>
          <w:sz w:val="24"/>
          <w:szCs w:val="24"/>
        </w:rPr>
        <w:t xml:space="preserve"> </w:t>
      </w:r>
      <w:r w:rsidR="00D14FC7" w:rsidRPr="00DC6AD3">
        <w:rPr>
          <w:sz w:val="24"/>
          <w:szCs w:val="24"/>
        </w:rPr>
        <w:t>of $</w:t>
      </w:r>
      <w:r w:rsidR="00C03C02">
        <w:rPr>
          <w:sz w:val="24"/>
          <w:szCs w:val="24"/>
        </w:rPr>
        <w:t>4.1</w:t>
      </w:r>
      <w:r w:rsidR="00C31D95">
        <w:rPr>
          <w:sz w:val="24"/>
          <w:szCs w:val="24"/>
        </w:rPr>
        <w:t xml:space="preserve"> b</w:t>
      </w:r>
      <w:r w:rsidR="00465FB0">
        <w:rPr>
          <w:sz w:val="24"/>
          <w:szCs w:val="24"/>
        </w:rPr>
        <w:t>illion</w:t>
      </w:r>
      <w:r w:rsidR="00A138E9" w:rsidRPr="00DC6AD3">
        <w:rPr>
          <w:sz w:val="24"/>
          <w:szCs w:val="24"/>
        </w:rPr>
        <w:t>.</w:t>
      </w:r>
      <w:r w:rsidR="00A138E9">
        <w:rPr>
          <w:sz w:val="24"/>
          <w:szCs w:val="24"/>
        </w:rPr>
        <w:t xml:space="preserve"> </w:t>
      </w:r>
    </w:p>
    <w:p w14:paraId="29EEB934" w14:textId="77777777" w:rsidR="00F16F09" w:rsidRDefault="00F16F09">
      <w:pPr>
        <w:rPr>
          <w:sz w:val="20"/>
        </w:rPr>
      </w:pPr>
      <w:bookmarkStart w:id="0" w:name="footnote1"/>
      <w:bookmarkEnd w:id="0"/>
    </w:p>
    <w:tbl>
      <w:tblPr>
        <w:tblW w:w="9300" w:type="dxa"/>
        <w:tblInd w:w="94" w:type="dxa"/>
        <w:tblLook w:val="04A0" w:firstRow="1" w:lastRow="0" w:firstColumn="1" w:lastColumn="0" w:noHBand="0" w:noVBand="1"/>
      </w:tblPr>
      <w:tblGrid>
        <w:gridCol w:w="1860"/>
        <w:gridCol w:w="1860"/>
        <w:gridCol w:w="1860"/>
        <w:gridCol w:w="1860"/>
        <w:gridCol w:w="1860"/>
      </w:tblGrid>
      <w:tr w:rsidR="00E73A66" w:rsidRPr="00DC6AD3" w14:paraId="31166E5C" w14:textId="77777777" w:rsidTr="00E73A66">
        <w:trPr>
          <w:trHeight w:val="315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4643C62C" w14:textId="2160FE66" w:rsidR="00E73A66" w:rsidRPr="00DC6AD3" w:rsidRDefault="005871D5" w:rsidP="00E73A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6A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Table </w:t>
            </w:r>
            <w:r w:rsidR="000540D2" w:rsidRPr="00DC6A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 w:rsidRPr="00DC6A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Unliquidated</w:t>
            </w:r>
            <w:r w:rsidRPr="00DC6AD3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1</w:t>
            </w:r>
            <w:r w:rsidRPr="00DC6A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Funds as of 09/30/</w:t>
            </w:r>
            <w:r w:rsidR="00C03C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</w:tr>
      <w:tr w:rsidR="003E4FAA" w:rsidRPr="00DC6AD3" w14:paraId="573671D1" w14:textId="77777777" w:rsidTr="00E73A66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49A3C" w14:textId="77777777" w:rsidR="003E4FAA" w:rsidRPr="00DC6AD3" w:rsidRDefault="003E4FAA" w:rsidP="003E4F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DCF55" w14:textId="210C5B1C" w:rsidR="003E4FAA" w:rsidRPr="003E4FAA" w:rsidRDefault="003E4FAA" w:rsidP="003E4F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3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GY 201</w:t>
            </w:r>
            <w:r w:rsidR="006E27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7BA0F" w14:textId="721002A8" w:rsidR="003E4FAA" w:rsidRPr="003E4FAA" w:rsidRDefault="003E4FAA" w:rsidP="003E4F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3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GY 201</w:t>
            </w:r>
            <w:r w:rsidR="006E27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9A48B" w14:textId="6B42DDCA" w:rsidR="003E4FAA" w:rsidRPr="003E4FAA" w:rsidRDefault="003E4FAA" w:rsidP="003E4F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3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GY 20</w:t>
            </w:r>
            <w:r w:rsidR="006E27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A5332" w14:textId="7DD9808F" w:rsidR="003E4FAA" w:rsidRPr="003E4FAA" w:rsidRDefault="003E4FAA" w:rsidP="003E4F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3D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by Fund </w:t>
            </w:r>
          </w:p>
        </w:tc>
      </w:tr>
      <w:tr w:rsidR="00C03C02" w:rsidRPr="00DC6AD3" w14:paraId="24099C75" w14:textId="77777777" w:rsidTr="00782CE7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931CC" w14:textId="77777777" w:rsidR="00C03C02" w:rsidRPr="00DC6AD3" w:rsidRDefault="00C03C02" w:rsidP="00C03C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AD3">
              <w:rPr>
                <w:rFonts w:ascii="Arial" w:hAnsi="Arial" w:cs="Arial"/>
                <w:color w:val="000000"/>
                <w:sz w:val="16"/>
                <w:szCs w:val="16"/>
              </w:rPr>
              <w:t>Mandatory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834E8" w14:textId="7F438AD6" w:rsidR="00C03C02" w:rsidRPr="003E4FAA" w:rsidRDefault="00C03C02" w:rsidP="00C03C02">
            <w:pPr>
              <w:jc w:val="right"/>
              <w:rPr>
                <w:rFonts w:ascii="Arial" w:hAnsi="Arial" w:cs="Arial"/>
                <w:color w:val="45454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$4,600,568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25AF0" w14:textId="5D3228B4" w:rsidR="00C03C02" w:rsidRPr="003E4FAA" w:rsidRDefault="00C03C02" w:rsidP="00C03C02">
            <w:pPr>
              <w:jc w:val="right"/>
              <w:rPr>
                <w:rFonts w:ascii="Arial" w:hAnsi="Arial" w:cs="Arial"/>
                <w:color w:val="45454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$15,391,063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75493" w14:textId="6850700F" w:rsidR="00C03C02" w:rsidRPr="003E4FAA" w:rsidRDefault="00C03C02" w:rsidP="00C03C02">
            <w:pPr>
              <w:jc w:val="right"/>
              <w:rPr>
                <w:rFonts w:ascii="Arial" w:hAnsi="Arial" w:cs="Arial"/>
                <w:color w:val="45454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$193,905,196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45C66" w14:textId="70E7D426" w:rsidR="00C03C02" w:rsidRPr="003E4FAA" w:rsidRDefault="00C03C02" w:rsidP="00C03C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$213,896,827 </w:t>
            </w:r>
          </w:p>
        </w:tc>
      </w:tr>
      <w:tr w:rsidR="00C03C02" w:rsidRPr="00DC6AD3" w14:paraId="3380E891" w14:textId="77777777" w:rsidTr="00782CE7">
        <w:trPr>
          <w:trHeight w:val="255"/>
        </w:trPr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FC40175" w14:textId="77777777" w:rsidR="00C03C02" w:rsidRPr="00DC6AD3" w:rsidRDefault="00C03C02" w:rsidP="00C03C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AD3">
              <w:rPr>
                <w:rFonts w:ascii="Arial" w:hAnsi="Arial" w:cs="Arial"/>
                <w:color w:val="000000"/>
                <w:sz w:val="16"/>
                <w:szCs w:val="16"/>
              </w:rPr>
              <w:t>Matching Federal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8ADE3" w14:textId="08C2BACE" w:rsidR="00C03C02" w:rsidRPr="003E4FAA" w:rsidRDefault="00C03C02" w:rsidP="00C03C02">
            <w:pPr>
              <w:jc w:val="right"/>
              <w:rPr>
                <w:rFonts w:ascii="Arial" w:hAnsi="Arial" w:cs="Arial"/>
                <w:color w:val="45454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$0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3A2C6" w14:textId="31853433" w:rsidR="00C03C02" w:rsidRPr="003E4FAA" w:rsidRDefault="00C03C02" w:rsidP="00C03C02">
            <w:pPr>
              <w:jc w:val="right"/>
              <w:rPr>
                <w:rFonts w:ascii="Arial" w:hAnsi="Arial" w:cs="Arial"/>
                <w:color w:val="45454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$1,464,212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86071" w14:textId="5E304751" w:rsidR="00C03C02" w:rsidRPr="003E4FAA" w:rsidRDefault="00C03C02" w:rsidP="00C03C02">
            <w:pPr>
              <w:jc w:val="right"/>
              <w:rPr>
                <w:rFonts w:ascii="Arial" w:hAnsi="Arial" w:cs="Arial"/>
                <w:color w:val="45454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$376,363,909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8B913" w14:textId="7D2CD081" w:rsidR="00C03C02" w:rsidRPr="003E4FAA" w:rsidRDefault="00C03C02" w:rsidP="00C03C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$377,828,121 </w:t>
            </w:r>
          </w:p>
        </w:tc>
      </w:tr>
      <w:tr w:rsidR="00C03C02" w:rsidRPr="00DC6AD3" w14:paraId="074E4B94" w14:textId="77777777" w:rsidTr="00782CE7">
        <w:trPr>
          <w:trHeight w:val="255"/>
        </w:trPr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366D445" w14:textId="2025B982" w:rsidR="00C03C02" w:rsidRPr="00EB5349" w:rsidRDefault="00C03C02" w:rsidP="00C03C02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DC6AD3">
              <w:rPr>
                <w:rFonts w:ascii="Arial" w:hAnsi="Arial" w:cs="Arial"/>
                <w:color w:val="000000"/>
                <w:sz w:val="16"/>
                <w:szCs w:val="16"/>
              </w:rPr>
              <w:t>Discretionary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A53DA" w14:textId="3B47DC26" w:rsidR="00C03C02" w:rsidRPr="003E4FAA" w:rsidRDefault="00C03C02" w:rsidP="00C03C02">
            <w:pPr>
              <w:jc w:val="right"/>
              <w:rPr>
                <w:rFonts w:ascii="Arial" w:hAnsi="Arial" w:cs="Arial"/>
                <w:color w:val="45454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$3,647,293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FA48B" w14:textId="4ED57E3D" w:rsidR="00C03C02" w:rsidRPr="003E4FAA" w:rsidRDefault="00C03C02" w:rsidP="00C03C02">
            <w:pPr>
              <w:jc w:val="right"/>
              <w:rPr>
                <w:rFonts w:ascii="Arial" w:hAnsi="Arial" w:cs="Arial"/>
                <w:color w:val="45454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$563,877,402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833DF" w14:textId="6F58BB3B" w:rsidR="00C03C02" w:rsidRPr="003E4FAA" w:rsidRDefault="00C03C02" w:rsidP="00C03C02">
            <w:pPr>
              <w:jc w:val="right"/>
              <w:rPr>
                <w:rFonts w:ascii="Arial" w:hAnsi="Arial" w:cs="Arial"/>
                <w:color w:val="45454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$2,001,923,609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AE7E1" w14:textId="3A13B4CE" w:rsidR="00C03C02" w:rsidRPr="003E4FAA" w:rsidRDefault="00C03C02" w:rsidP="00C03C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$2,569,448,304 </w:t>
            </w:r>
          </w:p>
        </w:tc>
      </w:tr>
      <w:tr w:rsidR="00C03C02" w:rsidRPr="00DC6AD3" w14:paraId="27F938AC" w14:textId="77777777" w:rsidTr="00782CE7">
        <w:trPr>
          <w:trHeight w:val="255"/>
        </w:trPr>
        <w:tc>
          <w:tcPr>
            <w:tcW w:w="18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0F73A93" w14:textId="7003766B" w:rsidR="00C03C02" w:rsidRPr="00DC6AD3" w:rsidRDefault="00C03C02" w:rsidP="00C03C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C02">
              <w:rPr>
                <w:rFonts w:ascii="Arial" w:hAnsi="Arial" w:cs="Arial"/>
                <w:color w:val="000000"/>
                <w:sz w:val="16"/>
                <w:szCs w:val="16"/>
              </w:rPr>
              <w:t>Discretionary CARES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F0048" w14:textId="7FD57D95" w:rsidR="00C03C02" w:rsidRPr="008F3D48" w:rsidRDefault="00C03C02" w:rsidP="00C03C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A8CB2" w14:textId="3C3FCA12" w:rsidR="00C03C02" w:rsidRPr="008F3D48" w:rsidRDefault="00C03C02" w:rsidP="00C03C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44787" w14:textId="7637E1A3" w:rsidR="00C03C02" w:rsidRPr="008F3D48" w:rsidRDefault="00C03C02" w:rsidP="00C03C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$938,021,077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8EF18" w14:textId="58D826E5" w:rsidR="00C03C02" w:rsidRPr="008F3D48" w:rsidRDefault="00C03C02" w:rsidP="00C03C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$938,021,077 </w:t>
            </w:r>
          </w:p>
        </w:tc>
      </w:tr>
      <w:tr w:rsidR="00C03C02" w:rsidRPr="00DC6AD3" w14:paraId="3B97EA3F" w14:textId="77777777" w:rsidTr="00782CE7">
        <w:trPr>
          <w:trHeight w:val="459"/>
        </w:trPr>
        <w:tc>
          <w:tcPr>
            <w:tcW w:w="186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09E7F17" w14:textId="75DCFC11" w:rsidR="00C03C02" w:rsidRPr="00DC6AD3" w:rsidRDefault="00C03C02" w:rsidP="00C03C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C02">
              <w:rPr>
                <w:rFonts w:ascii="Arial" w:hAnsi="Arial" w:cs="Arial"/>
                <w:color w:val="000000"/>
                <w:sz w:val="16"/>
                <w:szCs w:val="16"/>
              </w:rPr>
              <w:t>Discretionary Disaster Relief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E599E" w14:textId="7759029E" w:rsidR="00C03C02" w:rsidRPr="008F3D48" w:rsidRDefault="00C03C02" w:rsidP="00C03C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0C815" w14:textId="2CC66907" w:rsidR="00C03C02" w:rsidRPr="008F3D48" w:rsidRDefault="00C03C02" w:rsidP="00C03C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8A49F" w14:textId="52B7EE4F" w:rsidR="00C03C02" w:rsidRPr="008F3D48" w:rsidRDefault="00C03C02" w:rsidP="00C03C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$21,796,895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03D2E" w14:textId="753E3273" w:rsidR="00C03C02" w:rsidRPr="008F3D48" w:rsidRDefault="00C03C02" w:rsidP="00C03C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$21,796,895 </w:t>
            </w:r>
          </w:p>
        </w:tc>
      </w:tr>
      <w:tr w:rsidR="00C03C02" w:rsidRPr="00DC6AD3" w14:paraId="61996DA1" w14:textId="77777777" w:rsidTr="00782CE7">
        <w:trPr>
          <w:trHeight w:val="255"/>
        </w:trPr>
        <w:tc>
          <w:tcPr>
            <w:tcW w:w="18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62004" w14:textId="77777777" w:rsidR="00C03C02" w:rsidRPr="00DC6AD3" w:rsidRDefault="00C03C02" w:rsidP="00C03C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6A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71C96" w14:textId="210C0BBE" w:rsidR="00C03C02" w:rsidRPr="003E4FAA" w:rsidRDefault="00C03C02" w:rsidP="00C03C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$8,247,861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065E1" w14:textId="662B47BF" w:rsidR="00C03C02" w:rsidRPr="003E4FAA" w:rsidRDefault="00C03C02" w:rsidP="00C03C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$580,732,677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15C33" w14:textId="256C4E6B" w:rsidR="00C03C02" w:rsidRPr="003E4FAA" w:rsidRDefault="00C03C02" w:rsidP="00C03C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$3,532,010,686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B0D49" w14:textId="47092527" w:rsidR="00C03C02" w:rsidRPr="003E4FAA" w:rsidRDefault="00C03C02" w:rsidP="00C03C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$4,120,991,224 </w:t>
            </w:r>
          </w:p>
        </w:tc>
      </w:tr>
    </w:tbl>
    <w:p w14:paraId="1292918D" w14:textId="77777777" w:rsidR="00F84229" w:rsidRPr="00EB5349" w:rsidRDefault="00F84229" w:rsidP="00F84229">
      <w:pPr>
        <w:ind w:left="360"/>
        <w:rPr>
          <w:rFonts w:ascii="Arial" w:hAnsi="Arial" w:cs="Arial"/>
          <w:sz w:val="16"/>
          <w:szCs w:val="16"/>
        </w:rPr>
      </w:pPr>
    </w:p>
    <w:p w14:paraId="2F37A7D1" w14:textId="2520934F" w:rsidR="00C42AE5" w:rsidRPr="00EB5349" w:rsidRDefault="00E73A66" w:rsidP="00F84229">
      <w:pPr>
        <w:ind w:left="360"/>
        <w:rPr>
          <w:rFonts w:ascii="Arial" w:hAnsi="Arial" w:cs="Arial"/>
          <w:sz w:val="16"/>
          <w:szCs w:val="16"/>
        </w:rPr>
      </w:pPr>
      <w:r w:rsidRPr="00EB5349">
        <w:rPr>
          <w:rFonts w:ascii="Arial" w:hAnsi="Arial" w:cs="Arial"/>
          <w:sz w:val="16"/>
          <w:szCs w:val="16"/>
        </w:rPr>
        <w:t>1 Funds not meeting liquidation deadlines are subject to de-obligation by ACF.</w:t>
      </w:r>
      <w:r w:rsidR="001C1174" w:rsidRPr="00EB5349">
        <w:rPr>
          <w:rFonts w:ascii="Arial" w:hAnsi="Arial" w:cs="Arial"/>
          <w:sz w:val="16"/>
          <w:szCs w:val="16"/>
        </w:rPr>
        <w:t xml:space="preserve"> Mandatory funds do not have a liquidation deadline. </w:t>
      </w:r>
      <w:r w:rsidR="0080311A" w:rsidRPr="00EB5349">
        <w:rPr>
          <w:rFonts w:ascii="Arial" w:hAnsi="Arial" w:cs="Arial"/>
          <w:sz w:val="16"/>
          <w:szCs w:val="16"/>
        </w:rPr>
        <w:t xml:space="preserve">States have </w:t>
      </w:r>
      <w:r w:rsidR="004B5A55" w:rsidRPr="00EB5349">
        <w:rPr>
          <w:rFonts w:ascii="Arial" w:hAnsi="Arial" w:cs="Arial"/>
          <w:sz w:val="16"/>
          <w:szCs w:val="16"/>
        </w:rPr>
        <w:t xml:space="preserve">2 </w:t>
      </w:r>
      <w:r w:rsidR="0080311A" w:rsidRPr="00EB5349">
        <w:rPr>
          <w:rFonts w:ascii="Arial" w:hAnsi="Arial" w:cs="Arial"/>
          <w:sz w:val="16"/>
          <w:szCs w:val="16"/>
        </w:rPr>
        <w:t xml:space="preserve">years to liquidate Matching funds and </w:t>
      </w:r>
      <w:r w:rsidR="004B5A55" w:rsidRPr="00EB5349">
        <w:rPr>
          <w:rFonts w:ascii="Arial" w:hAnsi="Arial" w:cs="Arial"/>
          <w:sz w:val="16"/>
          <w:szCs w:val="16"/>
        </w:rPr>
        <w:t xml:space="preserve">3 </w:t>
      </w:r>
      <w:r w:rsidR="0080311A" w:rsidRPr="00EB5349">
        <w:rPr>
          <w:rFonts w:ascii="Arial" w:hAnsi="Arial" w:cs="Arial"/>
          <w:sz w:val="16"/>
          <w:szCs w:val="16"/>
        </w:rPr>
        <w:t>years to liquidate Discretionary funds</w:t>
      </w:r>
      <w:r w:rsidR="00335C01" w:rsidRPr="00EB5349">
        <w:rPr>
          <w:rFonts w:ascii="Arial" w:hAnsi="Arial" w:cs="Arial"/>
          <w:sz w:val="16"/>
          <w:szCs w:val="16"/>
        </w:rPr>
        <w:t>.</w:t>
      </w:r>
    </w:p>
    <w:p w14:paraId="052DD199" w14:textId="24C7BAEC" w:rsidR="00E73A66" w:rsidRPr="00EB5349" w:rsidRDefault="00E73A66" w:rsidP="00F84229">
      <w:pPr>
        <w:ind w:left="360"/>
        <w:rPr>
          <w:rFonts w:ascii="Arial" w:hAnsi="Arial" w:cs="Arial"/>
          <w:sz w:val="16"/>
          <w:szCs w:val="16"/>
        </w:rPr>
      </w:pPr>
    </w:p>
    <w:sectPr w:rsidR="00E73A66" w:rsidRPr="00EB5349" w:rsidSect="008D7365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BD334" w14:textId="77777777" w:rsidR="0001342D" w:rsidRDefault="0001342D">
      <w:r>
        <w:separator/>
      </w:r>
    </w:p>
  </w:endnote>
  <w:endnote w:type="continuationSeparator" w:id="0">
    <w:p w14:paraId="3FC890DC" w14:textId="77777777" w:rsidR="0001342D" w:rsidRDefault="0001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8F769" w14:textId="77777777" w:rsidR="009F0A05" w:rsidRDefault="009F0A05" w:rsidP="00884B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E8599A" w14:textId="77777777" w:rsidR="009F0A05" w:rsidRDefault="009F0A05" w:rsidP="008D73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17FE6" w14:textId="6694207E" w:rsidR="009F0A05" w:rsidRDefault="009F0A05" w:rsidP="00884B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7E87">
      <w:rPr>
        <w:rStyle w:val="PageNumber"/>
        <w:noProof/>
      </w:rPr>
      <w:t>3</w:t>
    </w:r>
    <w:r>
      <w:rPr>
        <w:rStyle w:val="PageNumber"/>
      </w:rPr>
      <w:fldChar w:fldCharType="end"/>
    </w:r>
  </w:p>
  <w:p w14:paraId="38848B9F" w14:textId="77777777" w:rsidR="009F0A05" w:rsidRDefault="009F0A05" w:rsidP="008D736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32DF7" w14:textId="77777777" w:rsidR="0001342D" w:rsidRDefault="0001342D">
      <w:r>
        <w:separator/>
      </w:r>
    </w:p>
  </w:footnote>
  <w:footnote w:type="continuationSeparator" w:id="0">
    <w:p w14:paraId="25D32789" w14:textId="77777777" w:rsidR="0001342D" w:rsidRDefault="0001342D">
      <w:r>
        <w:continuationSeparator/>
      </w:r>
    </w:p>
  </w:footnote>
  <w:footnote w:id="1">
    <w:p w14:paraId="7F35F144" w14:textId="2CBD4B1A" w:rsidR="008A3E61" w:rsidRDefault="008A3E61">
      <w:pPr>
        <w:pStyle w:val="FootnoteText"/>
      </w:pPr>
      <w:r>
        <w:rPr>
          <w:rStyle w:val="FootnoteReference"/>
        </w:rPr>
        <w:footnoteRef/>
      </w:r>
      <w:r>
        <w:t xml:space="preserve"> Fiscal Year (FY) refers to the period from October 1 through September 30, during which </w:t>
      </w:r>
      <w:proofErr w:type="gramStart"/>
      <w:r>
        <w:t>states</w:t>
      </w:r>
      <w:proofErr w:type="gramEnd"/>
      <w:r>
        <w:t xml:space="preserve"> and territories may </w:t>
      </w:r>
      <w:r w:rsidR="006611CF">
        <w:t xml:space="preserve">spend funds </w:t>
      </w:r>
      <w:r w:rsidR="00E5430B">
        <w:t>awarded</w:t>
      </w:r>
      <w:r w:rsidR="006611CF">
        <w:t xml:space="preserve"> in the current and prior years. Grant Year (GY) refers to the year the funds were awarded, </w:t>
      </w:r>
      <w:r w:rsidR="00B61D27" w:rsidRPr="00B61D27">
        <w:t>although states and territories may liquidate some CCDF funding streams in later fiscal years</w:t>
      </w:r>
      <w:r w:rsidR="006611CF">
        <w:t>.</w:t>
      </w:r>
    </w:p>
  </w:footnote>
  <w:footnote w:id="2">
    <w:p w14:paraId="399F1B37" w14:textId="56DDC23B" w:rsidR="00D334D8" w:rsidRDefault="00D334D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E726A"/>
    <w:multiLevelType w:val="hybridMultilevel"/>
    <w:tmpl w:val="0060B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C7E46"/>
    <w:multiLevelType w:val="hybridMultilevel"/>
    <w:tmpl w:val="23D64AD4"/>
    <w:lvl w:ilvl="0" w:tplc="26F84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406DD4"/>
    <w:multiLevelType w:val="hybridMultilevel"/>
    <w:tmpl w:val="C4DA7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03D72"/>
    <w:multiLevelType w:val="hybridMultilevel"/>
    <w:tmpl w:val="C3726292"/>
    <w:lvl w:ilvl="0" w:tplc="5FB65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0177415">
    <w:abstractNumId w:val="0"/>
  </w:num>
  <w:num w:numId="2" w16cid:durableId="287399146">
    <w:abstractNumId w:val="2"/>
  </w:num>
  <w:num w:numId="3" w16cid:durableId="1708792977">
    <w:abstractNumId w:val="3"/>
  </w:num>
  <w:num w:numId="4" w16cid:durableId="905990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59D"/>
    <w:rsid w:val="0001176E"/>
    <w:rsid w:val="0001342D"/>
    <w:rsid w:val="00022ACA"/>
    <w:rsid w:val="00023B15"/>
    <w:rsid w:val="00024099"/>
    <w:rsid w:val="00024FE3"/>
    <w:rsid w:val="000257E4"/>
    <w:rsid w:val="000302E0"/>
    <w:rsid w:val="000348C7"/>
    <w:rsid w:val="00043F3E"/>
    <w:rsid w:val="0005274C"/>
    <w:rsid w:val="000540D2"/>
    <w:rsid w:val="00071205"/>
    <w:rsid w:val="000870DF"/>
    <w:rsid w:val="000938AB"/>
    <w:rsid w:val="00094159"/>
    <w:rsid w:val="000A173A"/>
    <w:rsid w:val="000A3857"/>
    <w:rsid w:val="000A7C55"/>
    <w:rsid w:val="000C423A"/>
    <w:rsid w:val="000D379A"/>
    <w:rsid w:val="000D4104"/>
    <w:rsid w:val="000E68EC"/>
    <w:rsid w:val="00100ABE"/>
    <w:rsid w:val="00105B1A"/>
    <w:rsid w:val="00111AE6"/>
    <w:rsid w:val="0012739C"/>
    <w:rsid w:val="00134655"/>
    <w:rsid w:val="00134D2F"/>
    <w:rsid w:val="001439E6"/>
    <w:rsid w:val="00150390"/>
    <w:rsid w:val="00151243"/>
    <w:rsid w:val="001527AB"/>
    <w:rsid w:val="00162DFE"/>
    <w:rsid w:val="00165C62"/>
    <w:rsid w:val="00176F1C"/>
    <w:rsid w:val="001770EB"/>
    <w:rsid w:val="00184FD8"/>
    <w:rsid w:val="00196DE9"/>
    <w:rsid w:val="001A15F3"/>
    <w:rsid w:val="001A194D"/>
    <w:rsid w:val="001A27D7"/>
    <w:rsid w:val="001B5E4F"/>
    <w:rsid w:val="001B660D"/>
    <w:rsid w:val="001B6654"/>
    <w:rsid w:val="001C1174"/>
    <w:rsid w:val="001C1D2F"/>
    <w:rsid w:val="001E1D6D"/>
    <w:rsid w:val="001F31E4"/>
    <w:rsid w:val="002052A4"/>
    <w:rsid w:val="002108E7"/>
    <w:rsid w:val="00212FC8"/>
    <w:rsid w:val="00214DD4"/>
    <w:rsid w:val="0021599A"/>
    <w:rsid w:val="00224495"/>
    <w:rsid w:val="00227F5A"/>
    <w:rsid w:val="00237F6C"/>
    <w:rsid w:val="0024315E"/>
    <w:rsid w:val="00243964"/>
    <w:rsid w:val="00250EF8"/>
    <w:rsid w:val="0025591E"/>
    <w:rsid w:val="00256B66"/>
    <w:rsid w:val="00260CDB"/>
    <w:rsid w:val="002871D0"/>
    <w:rsid w:val="002974CD"/>
    <w:rsid w:val="002A4DF5"/>
    <w:rsid w:val="002A678B"/>
    <w:rsid w:val="002A7E87"/>
    <w:rsid w:val="002B7F4C"/>
    <w:rsid w:val="002F1AF7"/>
    <w:rsid w:val="00320549"/>
    <w:rsid w:val="003258C2"/>
    <w:rsid w:val="003327F3"/>
    <w:rsid w:val="00333E21"/>
    <w:rsid w:val="00335BA1"/>
    <w:rsid w:val="00335C01"/>
    <w:rsid w:val="00341072"/>
    <w:rsid w:val="0034698A"/>
    <w:rsid w:val="003936F3"/>
    <w:rsid w:val="003A7772"/>
    <w:rsid w:val="003C631E"/>
    <w:rsid w:val="003C6CFE"/>
    <w:rsid w:val="003D738A"/>
    <w:rsid w:val="003E4FAA"/>
    <w:rsid w:val="003E591A"/>
    <w:rsid w:val="003F2B39"/>
    <w:rsid w:val="003F5B86"/>
    <w:rsid w:val="00404685"/>
    <w:rsid w:val="00405451"/>
    <w:rsid w:val="0041198B"/>
    <w:rsid w:val="004135F3"/>
    <w:rsid w:val="00420AD3"/>
    <w:rsid w:val="0042245F"/>
    <w:rsid w:val="00432234"/>
    <w:rsid w:val="00432D39"/>
    <w:rsid w:val="00433BE6"/>
    <w:rsid w:val="004350A2"/>
    <w:rsid w:val="00435CD5"/>
    <w:rsid w:val="00437387"/>
    <w:rsid w:val="00444A9D"/>
    <w:rsid w:val="00453773"/>
    <w:rsid w:val="00465FB0"/>
    <w:rsid w:val="00474DE9"/>
    <w:rsid w:val="00486BC8"/>
    <w:rsid w:val="004920A2"/>
    <w:rsid w:val="004926A8"/>
    <w:rsid w:val="004A18B2"/>
    <w:rsid w:val="004A7F03"/>
    <w:rsid w:val="004B25F5"/>
    <w:rsid w:val="004B5A55"/>
    <w:rsid w:val="004B659D"/>
    <w:rsid w:val="004D4498"/>
    <w:rsid w:val="004D7F8B"/>
    <w:rsid w:val="004E482B"/>
    <w:rsid w:val="004E6262"/>
    <w:rsid w:val="004F67FE"/>
    <w:rsid w:val="004F788C"/>
    <w:rsid w:val="005063DE"/>
    <w:rsid w:val="005110D9"/>
    <w:rsid w:val="00527A65"/>
    <w:rsid w:val="0053000C"/>
    <w:rsid w:val="0054035A"/>
    <w:rsid w:val="00542932"/>
    <w:rsid w:val="00544FE8"/>
    <w:rsid w:val="005477F8"/>
    <w:rsid w:val="00551FA5"/>
    <w:rsid w:val="00560CA0"/>
    <w:rsid w:val="00565BE3"/>
    <w:rsid w:val="00573146"/>
    <w:rsid w:val="00581C2D"/>
    <w:rsid w:val="00582BEC"/>
    <w:rsid w:val="00583A93"/>
    <w:rsid w:val="005871D5"/>
    <w:rsid w:val="00596C70"/>
    <w:rsid w:val="005A03E6"/>
    <w:rsid w:val="005B4AE6"/>
    <w:rsid w:val="005C3EF7"/>
    <w:rsid w:val="005C4FCB"/>
    <w:rsid w:val="005C7AA1"/>
    <w:rsid w:val="005D153F"/>
    <w:rsid w:val="005D47B3"/>
    <w:rsid w:val="0060213A"/>
    <w:rsid w:val="006024D9"/>
    <w:rsid w:val="00611563"/>
    <w:rsid w:val="00622500"/>
    <w:rsid w:val="006420F2"/>
    <w:rsid w:val="0064318B"/>
    <w:rsid w:val="006611CF"/>
    <w:rsid w:val="00663611"/>
    <w:rsid w:val="006647B8"/>
    <w:rsid w:val="00667684"/>
    <w:rsid w:val="00667EB5"/>
    <w:rsid w:val="006701FB"/>
    <w:rsid w:val="006743D8"/>
    <w:rsid w:val="00675B7A"/>
    <w:rsid w:val="00681C14"/>
    <w:rsid w:val="00686A4E"/>
    <w:rsid w:val="006A23A5"/>
    <w:rsid w:val="006A5FF0"/>
    <w:rsid w:val="006B6F36"/>
    <w:rsid w:val="006C1C58"/>
    <w:rsid w:val="006C1D24"/>
    <w:rsid w:val="006C557C"/>
    <w:rsid w:val="006C5850"/>
    <w:rsid w:val="006D3D7F"/>
    <w:rsid w:val="006E27A1"/>
    <w:rsid w:val="006E4F94"/>
    <w:rsid w:val="006E6643"/>
    <w:rsid w:val="006F1351"/>
    <w:rsid w:val="006F4327"/>
    <w:rsid w:val="006F686B"/>
    <w:rsid w:val="006F6CE1"/>
    <w:rsid w:val="0070431C"/>
    <w:rsid w:val="00712992"/>
    <w:rsid w:val="00717CD5"/>
    <w:rsid w:val="00721B1B"/>
    <w:rsid w:val="007340BC"/>
    <w:rsid w:val="00735333"/>
    <w:rsid w:val="0073718F"/>
    <w:rsid w:val="0075077B"/>
    <w:rsid w:val="00761C8B"/>
    <w:rsid w:val="00761DFC"/>
    <w:rsid w:val="00762281"/>
    <w:rsid w:val="00763631"/>
    <w:rsid w:val="007656FC"/>
    <w:rsid w:val="00766169"/>
    <w:rsid w:val="00776C5B"/>
    <w:rsid w:val="00782CE7"/>
    <w:rsid w:val="00783F8E"/>
    <w:rsid w:val="007847AE"/>
    <w:rsid w:val="00793C26"/>
    <w:rsid w:val="007B2A29"/>
    <w:rsid w:val="007B7562"/>
    <w:rsid w:val="007C401A"/>
    <w:rsid w:val="007D5744"/>
    <w:rsid w:val="007D7BD2"/>
    <w:rsid w:val="007E2EF5"/>
    <w:rsid w:val="007F2413"/>
    <w:rsid w:val="0080311A"/>
    <w:rsid w:val="00812910"/>
    <w:rsid w:val="00817FC8"/>
    <w:rsid w:val="00824051"/>
    <w:rsid w:val="00824567"/>
    <w:rsid w:val="00833761"/>
    <w:rsid w:val="00841D7A"/>
    <w:rsid w:val="00847579"/>
    <w:rsid w:val="008478F4"/>
    <w:rsid w:val="00870852"/>
    <w:rsid w:val="00877957"/>
    <w:rsid w:val="008815B1"/>
    <w:rsid w:val="00884BD7"/>
    <w:rsid w:val="00896E57"/>
    <w:rsid w:val="008A2D69"/>
    <w:rsid w:val="008A3E61"/>
    <w:rsid w:val="008A76B0"/>
    <w:rsid w:val="008B44AD"/>
    <w:rsid w:val="008C37CB"/>
    <w:rsid w:val="008C60B1"/>
    <w:rsid w:val="008C7182"/>
    <w:rsid w:val="008D301F"/>
    <w:rsid w:val="008D6EDC"/>
    <w:rsid w:val="008D7365"/>
    <w:rsid w:val="008E3F28"/>
    <w:rsid w:val="008E43E5"/>
    <w:rsid w:val="008F1639"/>
    <w:rsid w:val="008F3B9D"/>
    <w:rsid w:val="008F3D48"/>
    <w:rsid w:val="008F68CA"/>
    <w:rsid w:val="008F76DA"/>
    <w:rsid w:val="009019E5"/>
    <w:rsid w:val="00903BD3"/>
    <w:rsid w:val="00904F30"/>
    <w:rsid w:val="00906D11"/>
    <w:rsid w:val="00917639"/>
    <w:rsid w:val="00931661"/>
    <w:rsid w:val="009422B4"/>
    <w:rsid w:val="009426C4"/>
    <w:rsid w:val="00943718"/>
    <w:rsid w:val="00950994"/>
    <w:rsid w:val="0096269B"/>
    <w:rsid w:val="00962EAD"/>
    <w:rsid w:val="00967BCF"/>
    <w:rsid w:val="00974963"/>
    <w:rsid w:val="0097611E"/>
    <w:rsid w:val="009923DB"/>
    <w:rsid w:val="00993B15"/>
    <w:rsid w:val="009A41F8"/>
    <w:rsid w:val="009B6641"/>
    <w:rsid w:val="009C6044"/>
    <w:rsid w:val="009C71AF"/>
    <w:rsid w:val="009D2D92"/>
    <w:rsid w:val="009E01E5"/>
    <w:rsid w:val="009E0B4E"/>
    <w:rsid w:val="009E6602"/>
    <w:rsid w:val="009F0A05"/>
    <w:rsid w:val="009F1AA1"/>
    <w:rsid w:val="009F4EA3"/>
    <w:rsid w:val="009F57A6"/>
    <w:rsid w:val="009F5AF7"/>
    <w:rsid w:val="00A138E9"/>
    <w:rsid w:val="00A13D0E"/>
    <w:rsid w:val="00A25CD7"/>
    <w:rsid w:val="00A31AF0"/>
    <w:rsid w:val="00A321A5"/>
    <w:rsid w:val="00A32AC7"/>
    <w:rsid w:val="00A33E55"/>
    <w:rsid w:val="00A41B3C"/>
    <w:rsid w:val="00A42F2D"/>
    <w:rsid w:val="00A51528"/>
    <w:rsid w:val="00A54350"/>
    <w:rsid w:val="00A558DF"/>
    <w:rsid w:val="00A63C97"/>
    <w:rsid w:val="00A64AFA"/>
    <w:rsid w:val="00A65215"/>
    <w:rsid w:val="00A80DA9"/>
    <w:rsid w:val="00AA0E60"/>
    <w:rsid w:val="00AA42D4"/>
    <w:rsid w:val="00AA4871"/>
    <w:rsid w:val="00AB06D3"/>
    <w:rsid w:val="00AD0318"/>
    <w:rsid w:val="00AD732F"/>
    <w:rsid w:val="00AE06DC"/>
    <w:rsid w:val="00AF4593"/>
    <w:rsid w:val="00B02D8B"/>
    <w:rsid w:val="00B06C99"/>
    <w:rsid w:val="00B10448"/>
    <w:rsid w:val="00B21C4B"/>
    <w:rsid w:val="00B27F3F"/>
    <w:rsid w:val="00B441FC"/>
    <w:rsid w:val="00B51E3E"/>
    <w:rsid w:val="00B53C72"/>
    <w:rsid w:val="00B55843"/>
    <w:rsid w:val="00B61D27"/>
    <w:rsid w:val="00B6656B"/>
    <w:rsid w:val="00B7386E"/>
    <w:rsid w:val="00B80509"/>
    <w:rsid w:val="00B90ACA"/>
    <w:rsid w:val="00B938E2"/>
    <w:rsid w:val="00BA103F"/>
    <w:rsid w:val="00BB48CD"/>
    <w:rsid w:val="00BB4BB3"/>
    <w:rsid w:val="00BC75C7"/>
    <w:rsid w:val="00BE10E5"/>
    <w:rsid w:val="00BE2F25"/>
    <w:rsid w:val="00BF0F58"/>
    <w:rsid w:val="00C00989"/>
    <w:rsid w:val="00C01565"/>
    <w:rsid w:val="00C03C02"/>
    <w:rsid w:val="00C2143E"/>
    <w:rsid w:val="00C23B0F"/>
    <w:rsid w:val="00C31D95"/>
    <w:rsid w:val="00C42AE5"/>
    <w:rsid w:val="00C53315"/>
    <w:rsid w:val="00C873DD"/>
    <w:rsid w:val="00C9290F"/>
    <w:rsid w:val="00C9554E"/>
    <w:rsid w:val="00CA10A7"/>
    <w:rsid w:val="00CB6B53"/>
    <w:rsid w:val="00CB7296"/>
    <w:rsid w:val="00CB7CC8"/>
    <w:rsid w:val="00CC0A67"/>
    <w:rsid w:val="00CC1917"/>
    <w:rsid w:val="00CD1E86"/>
    <w:rsid w:val="00CD3D9E"/>
    <w:rsid w:val="00CE0612"/>
    <w:rsid w:val="00CE39BD"/>
    <w:rsid w:val="00CE7F5F"/>
    <w:rsid w:val="00CF2613"/>
    <w:rsid w:val="00CF336B"/>
    <w:rsid w:val="00CF7EBF"/>
    <w:rsid w:val="00D0192D"/>
    <w:rsid w:val="00D112E2"/>
    <w:rsid w:val="00D131A1"/>
    <w:rsid w:val="00D14FC7"/>
    <w:rsid w:val="00D334D8"/>
    <w:rsid w:val="00D34A59"/>
    <w:rsid w:val="00D3568A"/>
    <w:rsid w:val="00D406CB"/>
    <w:rsid w:val="00D45C1A"/>
    <w:rsid w:val="00D46E6A"/>
    <w:rsid w:val="00D52E6E"/>
    <w:rsid w:val="00D534EA"/>
    <w:rsid w:val="00D567A3"/>
    <w:rsid w:val="00D64183"/>
    <w:rsid w:val="00D641E3"/>
    <w:rsid w:val="00D715F1"/>
    <w:rsid w:val="00D72AD7"/>
    <w:rsid w:val="00D74796"/>
    <w:rsid w:val="00D868A8"/>
    <w:rsid w:val="00D94EF7"/>
    <w:rsid w:val="00D96E1F"/>
    <w:rsid w:val="00D978C7"/>
    <w:rsid w:val="00DA0E99"/>
    <w:rsid w:val="00DA3B2E"/>
    <w:rsid w:val="00DB2D4B"/>
    <w:rsid w:val="00DC2F45"/>
    <w:rsid w:val="00DC6AD3"/>
    <w:rsid w:val="00DC75BF"/>
    <w:rsid w:val="00DE4DC8"/>
    <w:rsid w:val="00DF6C81"/>
    <w:rsid w:val="00DF75CE"/>
    <w:rsid w:val="00E00AD1"/>
    <w:rsid w:val="00E00D1E"/>
    <w:rsid w:val="00E119B5"/>
    <w:rsid w:val="00E16D67"/>
    <w:rsid w:val="00E23F0E"/>
    <w:rsid w:val="00E27C0D"/>
    <w:rsid w:val="00E32710"/>
    <w:rsid w:val="00E376A6"/>
    <w:rsid w:val="00E41EBF"/>
    <w:rsid w:val="00E4582B"/>
    <w:rsid w:val="00E47241"/>
    <w:rsid w:val="00E50811"/>
    <w:rsid w:val="00E5430B"/>
    <w:rsid w:val="00E56898"/>
    <w:rsid w:val="00E570A0"/>
    <w:rsid w:val="00E73A66"/>
    <w:rsid w:val="00E84445"/>
    <w:rsid w:val="00E97A48"/>
    <w:rsid w:val="00EA5954"/>
    <w:rsid w:val="00EA5A10"/>
    <w:rsid w:val="00EB475B"/>
    <w:rsid w:val="00EB5349"/>
    <w:rsid w:val="00EB7A05"/>
    <w:rsid w:val="00ED6304"/>
    <w:rsid w:val="00EE269D"/>
    <w:rsid w:val="00F00DAD"/>
    <w:rsid w:val="00F00FB7"/>
    <w:rsid w:val="00F10EFA"/>
    <w:rsid w:val="00F16F09"/>
    <w:rsid w:val="00F22E14"/>
    <w:rsid w:val="00F33B50"/>
    <w:rsid w:val="00F33C40"/>
    <w:rsid w:val="00F36011"/>
    <w:rsid w:val="00F40DE0"/>
    <w:rsid w:val="00F42880"/>
    <w:rsid w:val="00F44A40"/>
    <w:rsid w:val="00F705C0"/>
    <w:rsid w:val="00F7262E"/>
    <w:rsid w:val="00F84229"/>
    <w:rsid w:val="00F92FCF"/>
    <w:rsid w:val="00F968D8"/>
    <w:rsid w:val="00FA5964"/>
    <w:rsid w:val="00FC0DF6"/>
    <w:rsid w:val="00FD634A"/>
    <w:rsid w:val="00FE0E29"/>
    <w:rsid w:val="00FE76BB"/>
    <w:rsid w:val="00F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D82B76"/>
  <w15:docId w15:val="{877C1E75-01D5-4F6D-829E-FE9E6F39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659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56F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9A41F8"/>
    <w:rPr>
      <w:b/>
      <w:bCs/>
    </w:rPr>
  </w:style>
  <w:style w:type="paragraph" w:styleId="Footer">
    <w:name w:val="footer"/>
    <w:basedOn w:val="Normal"/>
    <w:rsid w:val="008D73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7365"/>
  </w:style>
  <w:style w:type="table" w:styleId="TableGrid">
    <w:name w:val="Table Grid"/>
    <w:basedOn w:val="TableNormal"/>
    <w:rsid w:val="0021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CA0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6A23A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A23A5"/>
  </w:style>
  <w:style w:type="character" w:styleId="FootnoteReference">
    <w:name w:val="footnote reference"/>
    <w:basedOn w:val="DefaultParagraphFont"/>
    <w:rsid w:val="006A23A5"/>
    <w:rPr>
      <w:vertAlign w:val="superscript"/>
    </w:rPr>
  </w:style>
  <w:style w:type="paragraph" w:styleId="Caption">
    <w:name w:val="caption"/>
    <w:basedOn w:val="Normal"/>
    <w:next w:val="Normal"/>
    <w:unhideWhenUsed/>
    <w:qFormat/>
    <w:rsid w:val="008C7182"/>
    <w:pPr>
      <w:spacing w:after="200"/>
    </w:pPr>
    <w:rPr>
      <w:b/>
      <w:bCs/>
      <w:color w:val="5B9BD5" w:themeColor="accent1"/>
      <w:sz w:val="18"/>
      <w:szCs w:val="18"/>
    </w:rPr>
  </w:style>
  <w:style w:type="paragraph" w:styleId="Header">
    <w:name w:val="header"/>
    <w:basedOn w:val="Normal"/>
    <w:link w:val="HeaderChar"/>
    <w:rsid w:val="002974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974CD"/>
    <w:rPr>
      <w:sz w:val="24"/>
    </w:rPr>
  </w:style>
  <w:style w:type="character" w:styleId="CommentReference">
    <w:name w:val="annotation reference"/>
    <w:basedOn w:val="DefaultParagraphFont"/>
    <w:rsid w:val="00DA3B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3B2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A3B2E"/>
  </w:style>
  <w:style w:type="paragraph" w:styleId="CommentSubject">
    <w:name w:val="annotation subject"/>
    <w:basedOn w:val="CommentText"/>
    <w:next w:val="CommentText"/>
    <w:link w:val="CommentSubjectChar"/>
    <w:rsid w:val="00DA3B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3B2E"/>
    <w:rPr>
      <w:b/>
      <w:bCs/>
    </w:rPr>
  </w:style>
  <w:style w:type="paragraph" w:styleId="Revision">
    <w:name w:val="Revision"/>
    <w:hidden/>
    <w:uiPriority w:val="99"/>
    <w:semiHidden/>
    <w:rsid w:val="00A321A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baseline="0">
                <a:effectLst/>
              </a:rPr>
              <a:t>Total FY 2020 Expenditures by Category </a:t>
            </a:r>
          </a:p>
          <a:p>
            <a:pPr>
              <a:defRPr/>
            </a:pPr>
            <a:r>
              <a:rPr lang="en-US" sz="1200" b="1" i="0" baseline="0">
                <a:effectLst/>
              </a:rPr>
              <a:t>(in millions)</a:t>
            </a:r>
            <a:endParaRPr lang="en-US" sz="1200" baseline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pattFill prst="lgGrid">
                <a:fgClr>
                  <a:schemeClr val="tx1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5C0-438D-BB13-BC9CD15D90E0}"/>
              </c:ext>
            </c:extLst>
          </c:dPt>
          <c:dPt>
            <c:idx val="1"/>
            <c:bubble3D val="0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5C0-438D-BB13-BC9CD15D90E0}"/>
              </c:ext>
            </c:extLst>
          </c:dPt>
          <c:dPt>
            <c:idx val="2"/>
            <c:bubble3D val="0"/>
            <c:spPr>
              <a:pattFill prst="dkHorz">
                <a:fgClr>
                  <a:schemeClr val="tx1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5C0-438D-BB13-BC9CD15D90E0}"/>
              </c:ext>
            </c:extLst>
          </c:dPt>
          <c:dPt>
            <c:idx val="3"/>
            <c:bubble3D val="0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5C0-438D-BB13-BC9CD15D90E0}"/>
              </c:ext>
            </c:extLst>
          </c:dPt>
          <c:dPt>
            <c:idx val="4"/>
            <c:bubble3D val="0"/>
            <c:spPr>
              <a:pattFill prst="trellis">
                <a:fgClr>
                  <a:schemeClr val="tx1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5C0-438D-BB13-BC9CD15D90E0}"/>
              </c:ext>
            </c:extLst>
          </c:dPt>
          <c:dLbls>
            <c:dLbl>
              <c:idx val="0"/>
              <c:layout>
                <c:manualLayout>
                  <c:x val="2.0163963568298981E-2"/>
                  <c:y val="3.0852698290762437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5C0-438D-BB13-BC9CD15D90E0}"/>
                </c:ext>
              </c:extLst>
            </c:dLbl>
            <c:dLbl>
              <c:idx val="1"/>
              <c:layout>
                <c:manualLayout>
                  <c:x val="-2.8880017985799585E-2"/>
                  <c:y val="8.685711542154783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5C0-438D-BB13-BC9CD15D90E0}"/>
                </c:ext>
              </c:extLst>
            </c:dLbl>
            <c:dLbl>
              <c:idx val="2"/>
              <c:layout>
                <c:manualLayout>
                  <c:x val="-9.2460603779109279E-2"/>
                  <c:y val="0.118544267332437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5C0-438D-BB13-BC9CD15D90E0}"/>
                </c:ext>
              </c:extLst>
            </c:dLbl>
            <c:dLbl>
              <c:idx val="3"/>
              <c:layout>
                <c:manualLayout>
                  <c:x val="-1.1408565214208782E-2"/>
                  <c:y val="1.054573970936559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5C0-438D-BB13-BC9CD15D90E0}"/>
                </c:ext>
              </c:extLst>
            </c:dLbl>
            <c:dLbl>
              <c:idx val="4"/>
              <c:layout>
                <c:manualLayout>
                  <c:x val="0.20805308947935294"/>
                  <c:y val="2.600441713078548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5C0-438D-BB13-BC9CD15D90E0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US"/>
              </a:p>
            </c:txPr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Sheet1!$A$2:$A$6</c:f>
              <c:strCache>
                <c:ptCount val="5"/>
                <c:pt idx="0">
                  <c:v>Direct Services</c:v>
                </c:pt>
                <c:pt idx="1">
                  <c:v>Quality Activities</c:v>
                </c:pt>
                <c:pt idx="2">
                  <c:v>Non-Direct Services</c:v>
                </c:pt>
                <c:pt idx="3">
                  <c:v>Infant/Toddler</c:v>
                </c:pt>
                <c:pt idx="4">
                  <c:v>Admin</c:v>
                </c:pt>
              </c:strCache>
            </c:strRef>
          </c:cat>
          <c:val>
            <c:numRef>
              <c:f>Sheet1!$B$2:$B$6</c:f>
              <c:numCache>
                <c:formatCode>_("$"* #,##0_);_("$"* \(#,##0\);_("$"* "-"??_);_(@_)</c:formatCode>
                <c:ptCount val="5"/>
                <c:pt idx="0">
                  <c:v>9903</c:v>
                </c:pt>
                <c:pt idx="1">
                  <c:v>1710</c:v>
                </c:pt>
                <c:pt idx="2">
                  <c:v>1054</c:v>
                </c:pt>
                <c:pt idx="3">
                  <c:v>427</c:v>
                </c:pt>
                <c:pt idx="4">
                  <c:v>296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5C0-438D-BB13-BC9CD15D90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EB066-FEE2-4D98-915F-86BD51441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1009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CCDF Expenditures in Fiscal Year 2009 as of September 30, 2009</vt:lpstr>
    </vt:vector>
  </TitlesOfParts>
  <Company>Office of Child Care, Administration for Children and Families, Department of Health and Human Services, United States Federal Government</Company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CCDF Expenditures in Fiscal Year 2009 as of September 30, 2009</dc:title>
  <dc:subject>CCDF Expenditures in Fiscal Year 2009 as of September 30, 2009</dc:subject>
  <dc:creator>Office of Child Care, Administration for Children and Families, Department of Health and Human Services, United States Federal Government</dc:creator>
  <cp:lastModifiedBy>Mora, Violeta</cp:lastModifiedBy>
  <cp:revision>2</cp:revision>
  <cp:lastPrinted>2019-12-30T16:28:00Z</cp:lastPrinted>
  <dcterms:created xsi:type="dcterms:W3CDTF">2023-02-07T12:52:00Z</dcterms:created>
  <dcterms:modified xsi:type="dcterms:W3CDTF">2023-02-07T12:52:00Z</dcterms:modified>
</cp:coreProperties>
</file>